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938" w:rsidRDefault="00953938" w:rsidP="00F039FD">
      <w:pPr>
        <w:suppressAutoHyphens/>
        <w:rPr>
          <w:rFonts w:ascii="Arial" w:hAnsi="Arial"/>
          <w:b/>
          <w:bCs/>
          <w:sz w:val="36"/>
          <w:szCs w:val="36"/>
        </w:rPr>
      </w:pPr>
    </w:p>
    <w:p w:rsidR="00953938" w:rsidRDefault="00953938" w:rsidP="00F039FD">
      <w:pPr>
        <w:suppressAutoHyphens/>
        <w:rPr>
          <w:rFonts w:ascii="Arial" w:hAnsi="Arial"/>
          <w:b/>
          <w:bCs/>
          <w:sz w:val="36"/>
          <w:szCs w:val="36"/>
        </w:rPr>
      </w:pPr>
    </w:p>
    <w:p w:rsidR="00F039FD" w:rsidRPr="00162F07" w:rsidRDefault="00F039FD" w:rsidP="00F039FD">
      <w:pPr>
        <w:suppressAutoHyphens/>
        <w:rPr>
          <w:rFonts w:ascii="Arial" w:hAnsi="Arial" w:cs="Arial"/>
          <w:b/>
          <w:bCs/>
          <w:sz w:val="36"/>
          <w:szCs w:val="36"/>
        </w:rPr>
      </w:pPr>
      <w:r>
        <w:rPr>
          <w:rFonts w:ascii="Arial" w:hAnsi="Arial"/>
          <w:b/>
          <w:bCs/>
          <w:sz w:val="36"/>
          <w:szCs w:val="36"/>
        </w:rPr>
        <w:t>Une flexibilisation d</w:t>
      </w:r>
      <w:r w:rsidRPr="00162F07">
        <w:rPr>
          <w:rFonts w:ascii="Arial" w:hAnsi="Arial"/>
          <w:b/>
          <w:bCs/>
          <w:sz w:val="36"/>
          <w:szCs w:val="36"/>
        </w:rPr>
        <w:t xml:space="preserve">es capacités </w:t>
      </w:r>
      <w:r>
        <w:rPr>
          <w:rFonts w:ascii="Arial" w:hAnsi="Arial"/>
          <w:b/>
          <w:bCs/>
          <w:sz w:val="36"/>
          <w:szCs w:val="36"/>
        </w:rPr>
        <w:t>de production</w:t>
      </w:r>
    </w:p>
    <w:p w:rsidR="00F039FD" w:rsidRPr="00162F07" w:rsidRDefault="00F039FD" w:rsidP="00F039FD">
      <w:pPr>
        <w:suppressAutoHyphens/>
        <w:rPr>
          <w:rFonts w:ascii="Arial" w:hAnsi="Arial" w:cs="Arial"/>
          <w:color w:val="1F497D"/>
          <w:sz w:val="20"/>
          <w:szCs w:val="20"/>
        </w:rPr>
      </w:pPr>
    </w:p>
    <w:p w:rsidR="00F039FD" w:rsidRPr="00162F07" w:rsidRDefault="00F039FD" w:rsidP="00F039FD">
      <w:pPr>
        <w:suppressAutoHyphens/>
        <w:rPr>
          <w:rFonts w:ascii="Arial" w:hAnsi="Arial" w:cs="Arial"/>
          <w:b/>
        </w:rPr>
      </w:pPr>
    </w:p>
    <w:p w:rsidR="00F039FD" w:rsidRPr="00162F07" w:rsidRDefault="00F039FD" w:rsidP="00F039FD">
      <w:pPr>
        <w:suppressAutoHyphens/>
        <w:jc w:val="both"/>
        <w:rPr>
          <w:rFonts w:ascii="Arial" w:hAnsi="Arial" w:cs="Arial"/>
          <w:b/>
        </w:rPr>
      </w:pPr>
      <w:r w:rsidRPr="00162F07">
        <w:rPr>
          <w:rFonts w:ascii="Arial" w:hAnsi="Arial"/>
          <w:b/>
        </w:rPr>
        <w:t xml:space="preserve">Grâce aux outils appropriés et à un logiciel de FAO moderne, les fabricants d’outils et de moules pourront flexibiliser leurs capacités de production et les augmenter jusqu’à 85 % lorsque l’économie sera relancée. </w:t>
      </w:r>
    </w:p>
    <w:p w:rsidR="00F039FD" w:rsidRPr="00162F07" w:rsidRDefault="00F039FD" w:rsidP="00F039FD">
      <w:pPr>
        <w:jc w:val="both"/>
        <w:rPr>
          <w:rFonts w:ascii="Arial" w:eastAsiaTheme="minorEastAsia" w:hAnsi="Arial" w:cs="Arial"/>
          <w:b/>
          <w:bCs/>
          <w:color w:val="262626"/>
          <w:sz w:val="22"/>
          <w:szCs w:val="22"/>
        </w:rPr>
      </w:pPr>
    </w:p>
    <w:p w:rsidR="00F039FD" w:rsidRPr="00162F07" w:rsidRDefault="00F039FD" w:rsidP="00F039FD">
      <w:pPr>
        <w:jc w:val="both"/>
        <w:rPr>
          <w:rFonts w:ascii="Arial" w:hAnsi="Arial" w:cs="Arial"/>
          <w:sz w:val="22"/>
          <w:szCs w:val="22"/>
        </w:rPr>
      </w:pPr>
      <w:r w:rsidRPr="00162F07">
        <w:rPr>
          <w:rFonts w:ascii="Arial" w:hAnsi="Arial"/>
          <w:bCs/>
          <w:color w:val="262626"/>
          <w:sz w:val="22"/>
          <w:szCs w:val="22"/>
        </w:rPr>
        <w:t xml:space="preserve">Les fabricants d’outils et de moules sont également touchés par la pandémie de coronavirus. De nombreuses entreprises se demandent comment sortir indemnes de la crise et comment réajuster rapidement leurs capacités dès que la situation du marché </w:t>
      </w:r>
      <w:bookmarkStart w:id="0" w:name="_GoBack"/>
      <w:bookmarkEnd w:id="0"/>
      <w:r w:rsidRPr="00162F07">
        <w:rPr>
          <w:rFonts w:ascii="Arial" w:hAnsi="Arial"/>
          <w:bCs/>
          <w:color w:val="262626"/>
          <w:sz w:val="22"/>
          <w:szCs w:val="22"/>
        </w:rPr>
        <w:t>s’améliorera. Les procédés de fabrication tels que le « </w:t>
      </w:r>
      <w:r w:rsidRPr="00D6715A">
        <w:rPr>
          <w:rFonts w:ascii="Arial" w:hAnsi="Arial"/>
          <w:bCs/>
          <w:color w:val="262626"/>
          <w:sz w:val="22"/>
          <w:szCs w:val="22"/>
        </w:rPr>
        <w:t>fraisage à segment circulaire</w:t>
      </w:r>
      <w:r w:rsidRPr="00162F07">
        <w:rPr>
          <w:rFonts w:ascii="Arial" w:hAnsi="Arial"/>
          <w:bCs/>
          <w:color w:val="262626"/>
          <w:sz w:val="22"/>
          <w:szCs w:val="22"/>
        </w:rPr>
        <w:t> », également appelé « </w:t>
      </w:r>
      <w:proofErr w:type="spellStart"/>
      <w:r w:rsidRPr="00162F07">
        <w:rPr>
          <w:rFonts w:ascii="Arial" w:hAnsi="Arial"/>
          <w:bCs/>
          <w:color w:val="262626"/>
          <w:sz w:val="22"/>
          <w:szCs w:val="22"/>
        </w:rPr>
        <w:t>Parabolic</w:t>
      </w:r>
      <w:proofErr w:type="spellEnd"/>
      <w:r w:rsidRPr="00162F07">
        <w:rPr>
          <w:rFonts w:ascii="Arial" w:hAnsi="Arial"/>
          <w:bCs/>
          <w:color w:val="262626"/>
          <w:sz w:val="22"/>
          <w:szCs w:val="22"/>
        </w:rPr>
        <w:t xml:space="preserve"> Performance</w:t>
      </w:r>
      <w:r w:rsidRPr="00162F07">
        <w:rPr>
          <w:rFonts w:ascii="Arial" w:hAnsi="Arial"/>
          <w:b/>
          <w:bCs/>
          <w:color w:val="262626"/>
          <w:sz w:val="22"/>
          <w:szCs w:val="22"/>
        </w:rPr>
        <w:t xml:space="preserve"> </w:t>
      </w:r>
      <w:r w:rsidRPr="00162F07">
        <w:rPr>
          <w:rFonts w:ascii="Arial" w:hAnsi="Arial"/>
          <w:bCs/>
          <w:color w:val="262626"/>
          <w:sz w:val="22"/>
          <w:szCs w:val="22"/>
        </w:rPr>
        <w:t>Cutting (PPC) », et le « fraisage tonneau » sont donc en point de mire. En effet, les outils PPC permettent d'effectuer la finition d'un moule d’outil jusqu’à neuf fois plus rapidement ou d’obtenir une qualité d’état de surface jusqu’à 80 fois supérieure. L’entreprise Koller </w:t>
      </w:r>
      <w:proofErr w:type="spellStart"/>
      <w:r w:rsidRPr="00162F07">
        <w:rPr>
          <w:rFonts w:ascii="Arial" w:hAnsi="Arial"/>
          <w:bCs/>
          <w:color w:val="262626"/>
          <w:sz w:val="22"/>
          <w:szCs w:val="22"/>
        </w:rPr>
        <w:t>Formenbau</w:t>
      </w:r>
      <w:proofErr w:type="spellEnd"/>
      <w:r w:rsidRPr="00162F07">
        <w:rPr>
          <w:rFonts w:ascii="Arial" w:hAnsi="Arial"/>
          <w:bCs/>
          <w:color w:val="262626"/>
          <w:sz w:val="22"/>
          <w:szCs w:val="22"/>
        </w:rPr>
        <w:t> GmbH</w:t>
      </w:r>
      <w:r w:rsidRPr="00162F07">
        <w:rPr>
          <w:rFonts w:ascii="Arial" w:hAnsi="Arial"/>
          <w:color w:val="262626"/>
          <w:sz w:val="22"/>
          <w:szCs w:val="22"/>
        </w:rPr>
        <w:t xml:space="preserve"> de </w:t>
      </w:r>
      <w:proofErr w:type="spellStart"/>
      <w:r w:rsidRPr="00162F07">
        <w:rPr>
          <w:rFonts w:ascii="Arial" w:hAnsi="Arial"/>
          <w:color w:val="262626"/>
          <w:sz w:val="22"/>
          <w:szCs w:val="22"/>
        </w:rPr>
        <w:t>Dietfurt</w:t>
      </w:r>
      <w:proofErr w:type="spellEnd"/>
      <w:r w:rsidRPr="00162F07">
        <w:rPr>
          <w:rFonts w:ascii="Arial" w:hAnsi="Arial"/>
          <w:color w:val="262626"/>
          <w:sz w:val="22"/>
          <w:szCs w:val="22"/>
        </w:rPr>
        <w:t xml:space="preserve"> dans l’</w:t>
      </w:r>
      <w:proofErr w:type="spellStart"/>
      <w:r w:rsidRPr="00162F07">
        <w:rPr>
          <w:rFonts w:ascii="Arial" w:hAnsi="Arial"/>
          <w:color w:val="262626"/>
          <w:sz w:val="22"/>
          <w:szCs w:val="22"/>
        </w:rPr>
        <w:t>Altmühltal</w:t>
      </w:r>
      <w:proofErr w:type="spellEnd"/>
      <w:r w:rsidRPr="00162F07">
        <w:rPr>
          <w:rFonts w:ascii="Arial" w:hAnsi="Arial"/>
          <w:color w:val="262626"/>
          <w:sz w:val="22"/>
          <w:szCs w:val="22"/>
        </w:rPr>
        <w:t xml:space="preserve"> (Allemagne), par exemple, a réduit le délai d’usinage pour la finition des surfaces de 100 à 15 heures grâce aux fraises PPC de Hoffmann Group. Le procédé PPC est également particulièrement bien adapté à la finition de pièces imprimées en 3D.</w:t>
      </w:r>
    </w:p>
    <w:p w:rsidR="00F039FD" w:rsidRPr="00162F07" w:rsidRDefault="00F039FD" w:rsidP="00F039FD">
      <w:pPr>
        <w:rPr>
          <w:rFonts w:ascii="Arial" w:hAnsi="Arial" w:cs="Arial"/>
          <w:sz w:val="22"/>
          <w:szCs w:val="22"/>
        </w:rPr>
      </w:pPr>
    </w:p>
    <w:p w:rsidR="00F039FD" w:rsidRPr="00162F07" w:rsidRDefault="00F039FD" w:rsidP="00F039FD">
      <w:pPr>
        <w:suppressAutoHyphens/>
        <w:ind w:right="-851"/>
        <w:jc w:val="both"/>
        <w:rPr>
          <w:rFonts w:ascii="Arial" w:hAnsi="Arial" w:cs="Arial"/>
          <w:b/>
        </w:rPr>
      </w:pPr>
      <w:r w:rsidRPr="00162F07">
        <w:rPr>
          <w:rFonts w:ascii="Arial" w:hAnsi="Arial"/>
          <w:b/>
        </w:rPr>
        <w:t>Un effort maîtrisé</w:t>
      </w:r>
    </w:p>
    <w:p w:rsidR="00F039FD" w:rsidRPr="00162F07" w:rsidRDefault="00F039FD" w:rsidP="00F039FD">
      <w:pPr>
        <w:jc w:val="both"/>
        <w:rPr>
          <w:rFonts w:ascii="Arial" w:eastAsiaTheme="minorEastAsia" w:hAnsi="Arial" w:cs="Arial"/>
          <w:color w:val="262626"/>
          <w:sz w:val="22"/>
          <w:szCs w:val="22"/>
        </w:rPr>
      </w:pPr>
      <w:r w:rsidRPr="00162F07">
        <w:rPr>
          <w:rFonts w:ascii="Arial" w:hAnsi="Arial"/>
          <w:sz w:val="22"/>
          <w:szCs w:val="22"/>
        </w:rPr>
        <w:t xml:space="preserve">Sur les outils PPC, l’arête principale de la fraise est conçue en forme d’arc. Par rapport à une fraise à bout hémisphérique classique, dont le rayon effectif est égal à la moitié du diamètre de l’outil, les outils PPC permettent d’obtenir un rayon effectif nettement plus important (jusqu’à 1 000 millimètres), et donc une longueur de contact avec la pièce nettement plus longue. Toutefois, en raison de leurs géométries plus complexes, ils imposent des exigences plus élevées pour le logiciel de FAO. </w:t>
      </w:r>
      <w:r w:rsidRPr="00162F07">
        <w:rPr>
          <w:rFonts w:ascii="Arial" w:hAnsi="Arial"/>
          <w:color w:val="262626"/>
          <w:sz w:val="22"/>
          <w:szCs w:val="22"/>
        </w:rPr>
        <w:t xml:space="preserve">Ce logiciel doit non seulement inclure l’option « Fraisage à segment circulaire », mais également disposer d’une base de données d’outils dans laquelle sont stockées les géométries exactes des outils PPC. </w:t>
      </w:r>
      <w:r w:rsidRPr="00162F07">
        <w:rPr>
          <w:rFonts w:ascii="Arial" w:hAnsi="Arial"/>
          <w:sz w:val="22"/>
          <w:szCs w:val="22"/>
        </w:rPr>
        <w:t xml:space="preserve">Étant donné que les outils sont inclinés par rapport à la pièce, le procédé ne fonctionne qu’en combinaison avec </w:t>
      </w:r>
      <w:r w:rsidRPr="00162F07">
        <w:rPr>
          <w:rFonts w:ascii="Arial" w:hAnsi="Arial"/>
          <w:color w:val="262626"/>
          <w:sz w:val="22"/>
          <w:szCs w:val="22"/>
        </w:rPr>
        <w:t xml:space="preserve">une fraiseuse 5 axes. Il n’est pas nécessaire d’utiliser les 5 axes. Après avoir positionné l’outil, les angles de dépouille peuvent généralement être usinés avec 1 ou 2 axes </w:t>
      </w:r>
      <w:r w:rsidRPr="00C57DCF">
        <w:rPr>
          <w:rFonts w:ascii="Arial" w:hAnsi="Arial"/>
          <w:color w:val="262626"/>
          <w:sz w:val="22"/>
          <w:szCs w:val="22"/>
        </w:rPr>
        <w:t>combinés</w:t>
      </w:r>
      <w:r w:rsidRPr="00162F07">
        <w:rPr>
          <w:rFonts w:ascii="Arial" w:hAnsi="Arial"/>
          <w:color w:val="262626"/>
          <w:sz w:val="22"/>
          <w:szCs w:val="22"/>
        </w:rPr>
        <w:t>.</w:t>
      </w:r>
      <w:r w:rsidRPr="00162F07">
        <w:rPr>
          <w:rFonts w:ascii="Arial" w:hAnsi="Arial"/>
          <w:sz w:val="22"/>
          <w:szCs w:val="22"/>
        </w:rPr>
        <w:t xml:space="preserve"> Les faces planes et les surfaces aisément accessibles sans contours gênants peuvent également être usinées sur la machine 3 axes</w:t>
      </w:r>
      <w:r w:rsidRPr="00162F07">
        <w:rPr>
          <w:rFonts w:ascii="Arial" w:hAnsi="Arial"/>
          <w:color w:val="FF0000"/>
          <w:sz w:val="22"/>
          <w:szCs w:val="22"/>
        </w:rPr>
        <w:t xml:space="preserve"> </w:t>
      </w:r>
      <w:r w:rsidRPr="00162F07">
        <w:rPr>
          <w:rFonts w:ascii="Arial" w:hAnsi="Arial"/>
          <w:color w:val="262626"/>
          <w:sz w:val="22"/>
          <w:szCs w:val="22"/>
        </w:rPr>
        <w:t xml:space="preserve">dans certaines circonstances. Dans le passé, il n’existait que quelques programmes logiciels dotés de la fonctionnalité « Fraisage à segment circulaire ». Cette situation a changé depuis. </w:t>
      </w:r>
      <w:r w:rsidRPr="00162F07">
        <w:rPr>
          <w:rFonts w:ascii="Arial" w:hAnsi="Arial"/>
          <w:sz w:val="22"/>
          <w:szCs w:val="22"/>
        </w:rPr>
        <w:t xml:space="preserve">Koller </w:t>
      </w:r>
      <w:proofErr w:type="spellStart"/>
      <w:r w:rsidRPr="00162F07">
        <w:rPr>
          <w:rFonts w:ascii="Arial" w:hAnsi="Arial"/>
          <w:sz w:val="22"/>
          <w:szCs w:val="22"/>
        </w:rPr>
        <w:t>Formenbau</w:t>
      </w:r>
      <w:proofErr w:type="spellEnd"/>
      <w:r w:rsidRPr="00162F07">
        <w:rPr>
          <w:rFonts w:ascii="Arial" w:hAnsi="Arial"/>
          <w:sz w:val="22"/>
          <w:szCs w:val="22"/>
        </w:rPr>
        <w:t xml:space="preserve">, par exemple, utilisait déjà une machine 5 axes et le logiciel </w:t>
      </w:r>
      <w:proofErr w:type="spellStart"/>
      <w:r w:rsidRPr="00162F07">
        <w:rPr>
          <w:rFonts w:ascii="Arial" w:hAnsi="Arial"/>
          <w:sz w:val="22"/>
          <w:szCs w:val="22"/>
        </w:rPr>
        <w:t>Hypermill</w:t>
      </w:r>
      <w:proofErr w:type="spellEnd"/>
      <w:r w:rsidRPr="00162F07">
        <w:rPr>
          <w:rFonts w:ascii="Arial" w:hAnsi="Arial"/>
          <w:sz w:val="22"/>
          <w:szCs w:val="22"/>
        </w:rPr>
        <w:t xml:space="preserve"> et recherchait simplement l’outil adapté. Avec un effort maîtrisé, l’entreprise a pu réaliser des gains de productivité allant jusqu’à 85 % et augmenter ses capacités sans avoir à acheter une nouvelle machine. </w:t>
      </w:r>
    </w:p>
    <w:p w:rsidR="00F039FD" w:rsidRPr="00162F07" w:rsidRDefault="00F039FD" w:rsidP="00F039FD">
      <w:pPr>
        <w:rPr>
          <w:rFonts w:ascii="Arial" w:eastAsiaTheme="minorEastAsia" w:hAnsi="Arial" w:cs="Arial"/>
          <w:color w:val="262626"/>
          <w:sz w:val="22"/>
          <w:szCs w:val="22"/>
        </w:rPr>
      </w:pPr>
    </w:p>
    <w:p w:rsidR="00F039FD" w:rsidRPr="00162F07" w:rsidRDefault="00F039FD" w:rsidP="00F039FD">
      <w:pPr>
        <w:jc w:val="both"/>
        <w:rPr>
          <w:rFonts w:ascii="Arial" w:hAnsi="Arial" w:cs="Arial"/>
          <w:b/>
          <w:bCs/>
          <w:sz w:val="22"/>
          <w:szCs w:val="22"/>
        </w:rPr>
      </w:pPr>
      <w:r w:rsidRPr="00162F07">
        <w:rPr>
          <w:rFonts w:ascii="Arial" w:hAnsi="Arial"/>
          <w:b/>
          <w:bCs/>
          <w:sz w:val="22"/>
          <w:szCs w:val="22"/>
        </w:rPr>
        <w:t>La multitude d’outils augmente la productivité</w:t>
      </w:r>
    </w:p>
    <w:p w:rsidR="00F039FD" w:rsidRPr="00162F07" w:rsidRDefault="00F039FD" w:rsidP="00F039FD">
      <w:pPr>
        <w:jc w:val="both"/>
        <w:rPr>
          <w:rFonts w:ascii="Arial" w:hAnsi="Arial" w:cs="Arial"/>
          <w:sz w:val="22"/>
          <w:szCs w:val="22"/>
        </w:rPr>
      </w:pPr>
      <w:r w:rsidRPr="00162F07">
        <w:rPr>
          <w:rFonts w:ascii="Arial" w:hAnsi="Arial"/>
          <w:sz w:val="22"/>
          <w:szCs w:val="22"/>
        </w:rPr>
        <w:t xml:space="preserve">Le procédé </w:t>
      </w:r>
      <w:proofErr w:type="spellStart"/>
      <w:r w:rsidRPr="00162F07">
        <w:rPr>
          <w:rFonts w:ascii="Arial" w:hAnsi="Arial"/>
          <w:sz w:val="22"/>
          <w:szCs w:val="22"/>
        </w:rPr>
        <w:t>Parabolic</w:t>
      </w:r>
      <w:proofErr w:type="spellEnd"/>
      <w:r w:rsidRPr="00162F07">
        <w:rPr>
          <w:rFonts w:ascii="Arial" w:hAnsi="Arial"/>
          <w:sz w:val="22"/>
          <w:szCs w:val="22"/>
        </w:rPr>
        <w:t xml:space="preserve"> Performance Cutting (PPC) est particulièrement efficace lorsque la forme de l’outil est parfaitement adaptée au contour de la pièce. Pour obtenir des gains de productivité maximum, il est nécessaire d’utiliser </w:t>
      </w:r>
      <w:r w:rsidRPr="00162F07">
        <w:rPr>
          <w:rFonts w:ascii="Arial" w:hAnsi="Arial"/>
          <w:color w:val="262626"/>
          <w:sz w:val="22"/>
          <w:szCs w:val="22"/>
        </w:rPr>
        <w:t>diverses formes d’arêtes principales, telles que « droite », « tangentielle », « conique » et « conique tronquée », car chacune de ces formes est spécialement conçue pour l’usinage de surfaces spécifiques. L’angle d’attaque de la pièce doit également être pris en considération</w:t>
      </w:r>
      <w:r w:rsidRPr="00162F07">
        <w:rPr>
          <w:rFonts w:ascii="Arial" w:hAnsi="Arial"/>
          <w:sz w:val="22"/>
          <w:szCs w:val="22"/>
        </w:rPr>
        <w:t xml:space="preserve">. En effet, un angle d’attaque plus marqué permet d’éviter plus facilement les contours gênants, par exemple. Par ailleurs, certains fabricants comme Hoffmann Group proposent des fraises à copier de précision avec plaquettes PPC. Dans certains cas, elles peuvent constituer une alternative intéressante aux </w:t>
      </w:r>
      <w:r w:rsidRPr="00162F07">
        <w:rPr>
          <w:rFonts w:ascii="Arial" w:hAnsi="Arial"/>
          <w:sz w:val="22"/>
          <w:szCs w:val="22"/>
        </w:rPr>
        <w:lastRenderedPageBreak/>
        <w:t xml:space="preserve">fraises à queue cylindrique en carbure monobloc. Lors du choix d’outils PPC, il convient donc de s’assurer que le fournisseur puisse proposer la gamme de produits correspondante. Tous les matériaux à usiner doivent également être pris en compte. </w:t>
      </w:r>
    </w:p>
    <w:p w:rsidR="00F039FD" w:rsidRPr="00162F07" w:rsidRDefault="00F039FD" w:rsidP="00F039FD">
      <w:pPr>
        <w:rPr>
          <w:rFonts w:ascii="Arial" w:hAnsi="Arial" w:cs="Arial"/>
          <w:sz w:val="22"/>
          <w:szCs w:val="22"/>
        </w:rPr>
      </w:pPr>
    </w:p>
    <w:p w:rsidR="00F039FD" w:rsidRPr="00162F07" w:rsidRDefault="00F039FD" w:rsidP="00F039FD">
      <w:pPr>
        <w:tabs>
          <w:tab w:val="left" w:pos="3213"/>
        </w:tabs>
        <w:suppressAutoHyphens/>
        <w:jc w:val="both"/>
        <w:rPr>
          <w:rFonts w:ascii="Arial" w:hAnsi="Arial" w:cs="Arial"/>
          <w:b/>
          <w:sz w:val="22"/>
          <w:szCs w:val="22"/>
        </w:rPr>
      </w:pPr>
      <w:r w:rsidRPr="00162F07">
        <w:rPr>
          <w:rFonts w:ascii="Arial" w:hAnsi="Arial"/>
          <w:b/>
          <w:sz w:val="22"/>
          <w:szCs w:val="22"/>
        </w:rPr>
        <w:t>Conclusion</w:t>
      </w:r>
    </w:p>
    <w:p w:rsidR="00F039FD" w:rsidRPr="00162F07" w:rsidRDefault="00F039FD" w:rsidP="00F039FD">
      <w:pPr>
        <w:tabs>
          <w:tab w:val="left" w:pos="3213"/>
        </w:tabs>
        <w:suppressAutoHyphens/>
        <w:jc w:val="both"/>
        <w:rPr>
          <w:rFonts w:ascii="Arial" w:hAnsi="Arial" w:cs="Arial"/>
          <w:sz w:val="22"/>
          <w:szCs w:val="22"/>
        </w:rPr>
      </w:pPr>
      <w:r w:rsidRPr="00162F07">
        <w:rPr>
          <w:rFonts w:ascii="Arial" w:hAnsi="Arial"/>
          <w:sz w:val="22"/>
          <w:szCs w:val="22"/>
        </w:rPr>
        <w:t xml:space="preserve">Le fraisage à segment circulaire commandé par FAO permet, grâce à un investissement maîtrisé dans des logiciels et des outils, de flexibiliser les capacités de production et de les adapter à l’évolution des conditions du marché. </w:t>
      </w:r>
    </w:p>
    <w:p w:rsidR="00F039FD" w:rsidRPr="00162F07" w:rsidRDefault="00F039FD" w:rsidP="00F039FD">
      <w:pPr>
        <w:tabs>
          <w:tab w:val="left" w:pos="3213"/>
        </w:tabs>
        <w:suppressAutoHyphens/>
        <w:rPr>
          <w:rFonts w:ascii="Arial" w:hAnsi="Arial" w:cs="Arial"/>
          <w:sz w:val="22"/>
          <w:szCs w:val="22"/>
        </w:rPr>
      </w:pPr>
    </w:p>
    <w:p w:rsidR="00F039FD" w:rsidRPr="00162F07" w:rsidRDefault="00F039FD" w:rsidP="00F039FD">
      <w:pPr>
        <w:tabs>
          <w:tab w:val="left" w:pos="3213"/>
        </w:tabs>
        <w:suppressAutoHyphens/>
        <w:rPr>
          <w:rFonts w:ascii="Arial" w:hAnsi="Arial" w:cs="Arial"/>
          <w:sz w:val="22"/>
          <w:szCs w:val="22"/>
        </w:rPr>
      </w:pPr>
    </w:p>
    <w:p w:rsidR="00F039FD" w:rsidRPr="00162F07" w:rsidRDefault="00F039FD" w:rsidP="00F039FD">
      <w:pPr>
        <w:tabs>
          <w:tab w:val="left" w:pos="3213"/>
        </w:tabs>
        <w:suppressAutoHyphens/>
        <w:rPr>
          <w:rFonts w:ascii="Arial" w:hAnsi="Arial" w:cs="Arial"/>
          <w:b/>
          <w:bCs/>
          <w:sz w:val="28"/>
          <w:szCs w:val="28"/>
        </w:rPr>
      </w:pPr>
      <w:r w:rsidRPr="00162F07">
        <w:rPr>
          <w:rFonts w:ascii="Arial" w:hAnsi="Arial"/>
          <w:b/>
          <w:bCs/>
          <w:sz w:val="28"/>
          <w:szCs w:val="28"/>
        </w:rPr>
        <w:t>Liste de contrôle</w:t>
      </w:r>
    </w:p>
    <w:p w:rsidR="00F039FD" w:rsidRPr="00162F07" w:rsidRDefault="00F039FD" w:rsidP="00F039FD">
      <w:pPr>
        <w:tabs>
          <w:tab w:val="left" w:pos="3213"/>
        </w:tabs>
        <w:suppressAutoHyphens/>
        <w:ind w:left="360"/>
        <w:rPr>
          <w:rFonts w:ascii="Arial" w:hAnsi="Arial" w:cs="Arial"/>
          <w:sz w:val="20"/>
          <w:szCs w:val="20"/>
        </w:rPr>
      </w:pPr>
    </w:p>
    <w:tbl>
      <w:tblPr>
        <w:tblStyle w:val="Tabellenraster"/>
        <w:tblW w:w="0" w:type="auto"/>
        <w:tblLook w:val="04A0" w:firstRow="1" w:lastRow="0" w:firstColumn="1" w:lastColumn="0" w:noHBand="0" w:noVBand="1"/>
      </w:tblPr>
      <w:tblGrid>
        <w:gridCol w:w="2029"/>
        <w:gridCol w:w="6550"/>
      </w:tblGrid>
      <w:tr w:rsidR="00F039FD" w:rsidRPr="00162F07" w:rsidTr="00A27632">
        <w:tc>
          <w:tcPr>
            <w:tcW w:w="8579" w:type="dxa"/>
            <w:gridSpan w:val="2"/>
          </w:tcPr>
          <w:p w:rsidR="00F039FD" w:rsidRPr="00162F07" w:rsidRDefault="00F039FD" w:rsidP="00A27632">
            <w:pPr>
              <w:tabs>
                <w:tab w:val="left" w:pos="3213"/>
              </w:tabs>
              <w:suppressAutoHyphens/>
              <w:rPr>
                <w:rFonts w:ascii="Arial" w:hAnsi="Arial" w:cs="Arial"/>
                <w:b/>
                <w:sz w:val="20"/>
                <w:szCs w:val="20"/>
              </w:rPr>
            </w:pPr>
            <w:r w:rsidRPr="00162F07">
              <w:rPr>
                <w:rFonts w:ascii="Arial" w:hAnsi="Arial"/>
                <w:b/>
                <w:sz w:val="20"/>
                <w:szCs w:val="20"/>
              </w:rPr>
              <w:t xml:space="preserve">Flexibilisation des capacités de production </w:t>
            </w:r>
          </w:p>
        </w:tc>
      </w:tr>
      <w:tr w:rsidR="00F039FD" w:rsidRPr="00162F07" w:rsidTr="00A27632">
        <w:tc>
          <w:tcPr>
            <w:tcW w:w="2029"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Domaines d’application</w:t>
            </w:r>
          </w:p>
        </w:tc>
        <w:tc>
          <w:tcPr>
            <w:tcW w:w="6550"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Finition de moules d’outils</w:t>
            </w:r>
          </w:p>
          <w:p w:rsidR="00F039FD" w:rsidRPr="00162F07" w:rsidRDefault="00F039FD" w:rsidP="00A27632">
            <w:pPr>
              <w:tabs>
                <w:tab w:val="left" w:pos="3213"/>
              </w:tabs>
              <w:suppressAutoHyphens/>
              <w:rPr>
                <w:rFonts w:ascii="Arial" w:hAnsi="Arial" w:cs="Arial"/>
                <w:b/>
                <w:sz w:val="20"/>
                <w:szCs w:val="20"/>
              </w:rPr>
            </w:pPr>
            <w:r w:rsidRPr="00162F07">
              <w:rPr>
                <w:rFonts w:ascii="Arial" w:hAnsi="Arial"/>
                <w:sz w:val="20"/>
                <w:szCs w:val="20"/>
              </w:rPr>
              <w:t>Finition de pièces imprimées en 3D</w:t>
            </w:r>
          </w:p>
        </w:tc>
      </w:tr>
      <w:tr w:rsidR="00F039FD" w:rsidRPr="00162F07" w:rsidTr="00A27632">
        <w:tc>
          <w:tcPr>
            <w:tcW w:w="2029"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Procédés de fabrication</w:t>
            </w:r>
          </w:p>
        </w:tc>
        <w:tc>
          <w:tcPr>
            <w:tcW w:w="6550" w:type="dxa"/>
          </w:tcPr>
          <w:p w:rsidR="00F039FD" w:rsidRPr="00162F07" w:rsidRDefault="00F039FD" w:rsidP="00A27632">
            <w:pPr>
              <w:tabs>
                <w:tab w:val="left" w:pos="3213"/>
              </w:tabs>
              <w:suppressAutoHyphens/>
              <w:rPr>
                <w:rFonts w:ascii="Arial" w:hAnsi="Arial" w:cs="Arial"/>
                <w:b/>
                <w:sz w:val="20"/>
                <w:szCs w:val="20"/>
              </w:rPr>
            </w:pPr>
            <w:r w:rsidRPr="00162F07">
              <w:rPr>
                <w:rFonts w:ascii="Arial" w:hAnsi="Arial"/>
                <w:sz w:val="20"/>
                <w:szCs w:val="20"/>
              </w:rPr>
              <w:t xml:space="preserve">Fraisage à segment circulaire, </w:t>
            </w:r>
            <w:proofErr w:type="spellStart"/>
            <w:r w:rsidRPr="00162F07">
              <w:rPr>
                <w:rFonts w:ascii="Arial" w:hAnsi="Arial"/>
                <w:sz w:val="20"/>
                <w:szCs w:val="20"/>
              </w:rPr>
              <w:t>Parabolic</w:t>
            </w:r>
            <w:proofErr w:type="spellEnd"/>
            <w:r w:rsidRPr="00162F07">
              <w:rPr>
                <w:rFonts w:ascii="Arial" w:hAnsi="Arial"/>
                <w:sz w:val="20"/>
                <w:szCs w:val="20"/>
              </w:rPr>
              <w:t xml:space="preserve"> Performance Cutting (PPC), fraisage tonneau </w:t>
            </w:r>
          </w:p>
        </w:tc>
      </w:tr>
      <w:tr w:rsidR="00F039FD" w:rsidRPr="00162F07" w:rsidTr="00A27632">
        <w:tc>
          <w:tcPr>
            <w:tcW w:w="2029"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Logiciel</w:t>
            </w:r>
          </w:p>
        </w:tc>
        <w:tc>
          <w:tcPr>
            <w:tcW w:w="6550"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 xml:space="preserve">Logiciel de FAO doté de la fonctionnalité « Fraisage à segment circulaire », </w:t>
            </w:r>
          </w:p>
          <w:p w:rsidR="00F039FD" w:rsidRPr="00162F07" w:rsidRDefault="00F039FD" w:rsidP="00A27632">
            <w:pPr>
              <w:tabs>
                <w:tab w:val="left" w:pos="3213"/>
              </w:tabs>
              <w:suppressAutoHyphens/>
              <w:rPr>
                <w:rFonts w:ascii="Arial" w:hAnsi="Arial" w:cs="Arial"/>
                <w:b/>
                <w:sz w:val="20"/>
                <w:szCs w:val="20"/>
              </w:rPr>
            </w:pPr>
            <w:r w:rsidRPr="00162F07">
              <w:rPr>
                <w:rFonts w:ascii="Arial" w:hAnsi="Arial"/>
                <w:sz w:val="20"/>
                <w:szCs w:val="20"/>
              </w:rPr>
              <w:t xml:space="preserve">Base de données incluant les géométries exactes des outils </w:t>
            </w:r>
          </w:p>
        </w:tc>
      </w:tr>
      <w:tr w:rsidR="00F039FD" w:rsidRPr="00162F07" w:rsidTr="00A27632">
        <w:tc>
          <w:tcPr>
            <w:tcW w:w="2029"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Outils</w:t>
            </w:r>
          </w:p>
        </w:tc>
        <w:tc>
          <w:tcPr>
            <w:tcW w:w="6550"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 xml:space="preserve">Outils spéciaux pour le fraisage à segment circulaire, </w:t>
            </w:r>
            <w:proofErr w:type="spellStart"/>
            <w:r w:rsidRPr="00162F07">
              <w:rPr>
                <w:rFonts w:ascii="Arial" w:hAnsi="Arial"/>
                <w:sz w:val="20"/>
                <w:szCs w:val="20"/>
              </w:rPr>
              <w:t>Parabolic</w:t>
            </w:r>
            <w:proofErr w:type="spellEnd"/>
            <w:r w:rsidRPr="00162F07">
              <w:rPr>
                <w:rFonts w:ascii="Arial" w:hAnsi="Arial"/>
                <w:sz w:val="20"/>
                <w:szCs w:val="20"/>
              </w:rPr>
              <w:t xml:space="preserve"> Performance Cutting (PPC), le fraisage tonneau</w:t>
            </w:r>
          </w:p>
        </w:tc>
      </w:tr>
      <w:tr w:rsidR="00F039FD" w:rsidRPr="00162F07" w:rsidTr="00A27632">
        <w:tc>
          <w:tcPr>
            <w:tcW w:w="2029"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Matériaux</w:t>
            </w:r>
          </w:p>
        </w:tc>
        <w:tc>
          <w:tcPr>
            <w:tcW w:w="6550"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Acier, aluminium, aciers trempés et fortement alliés</w:t>
            </w:r>
          </w:p>
        </w:tc>
      </w:tr>
      <w:tr w:rsidR="00F039FD" w:rsidRPr="00162F07" w:rsidTr="00A27632">
        <w:tc>
          <w:tcPr>
            <w:tcW w:w="2029"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Machines</w:t>
            </w:r>
          </w:p>
        </w:tc>
        <w:tc>
          <w:tcPr>
            <w:tcW w:w="6550"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Machine 5 axes : surfaces de forme libre, géométries de surface complexes</w:t>
            </w:r>
          </w:p>
          <w:p w:rsidR="00F039FD" w:rsidRPr="00162F07" w:rsidRDefault="00F039FD" w:rsidP="00A27632">
            <w:pPr>
              <w:tabs>
                <w:tab w:val="left" w:pos="3213"/>
              </w:tabs>
              <w:suppressAutoHyphens/>
              <w:rPr>
                <w:rFonts w:ascii="Arial" w:hAnsi="Arial" w:cs="Arial"/>
                <w:b/>
                <w:sz w:val="20"/>
                <w:szCs w:val="20"/>
              </w:rPr>
            </w:pPr>
            <w:r w:rsidRPr="00162F07">
              <w:rPr>
                <w:rFonts w:ascii="Arial" w:hAnsi="Arial"/>
                <w:sz w:val="20"/>
                <w:szCs w:val="20"/>
              </w:rPr>
              <w:t>Machine 3 axes : surfaces planes et surfaces aisément accessibles, sans contours gênants</w:t>
            </w:r>
          </w:p>
        </w:tc>
      </w:tr>
      <w:tr w:rsidR="00F039FD" w:rsidRPr="00162F07" w:rsidTr="00A27632">
        <w:tc>
          <w:tcPr>
            <w:tcW w:w="2029"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Avantages</w:t>
            </w:r>
          </w:p>
        </w:tc>
        <w:tc>
          <w:tcPr>
            <w:tcW w:w="6550" w:type="dxa"/>
          </w:tcPr>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Un saut de ligne multiplié par 9 ou une qualité d’état de surface multipliée par 80</w:t>
            </w:r>
          </w:p>
          <w:p w:rsidR="00F039FD" w:rsidRPr="00162F07" w:rsidRDefault="00F039FD" w:rsidP="00A27632">
            <w:pPr>
              <w:tabs>
                <w:tab w:val="left" w:pos="3213"/>
              </w:tabs>
              <w:suppressAutoHyphens/>
              <w:rPr>
                <w:rFonts w:ascii="Arial" w:hAnsi="Arial" w:cs="Arial"/>
                <w:sz w:val="20"/>
                <w:szCs w:val="20"/>
              </w:rPr>
            </w:pPr>
            <w:r w:rsidRPr="00162F07">
              <w:rPr>
                <w:rFonts w:ascii="Arial" w:hAnsi="Arial"/>
                <w:sz w:val="20"/>
                <w:szCs w:val="20"/>
              </w:rPr>
              <w:t>Des gains de productivité allant jusqu’à 85 %</w:t>
            </w:r>
          </w:p>
        </w:tc>
      </w:tr>
    </w:tbl>
    <w:p w:rsidR="00F039FD" w:rsidRPr="00162F07" w:rsidRDefault="00F039FD" w:rsidP="00F039FD">
      <w:pPr>
        <w:rPr>
          <w:rFonts w:ascii="Arial" w:hAnsi="Arial" w:cs="Arial"/>
          <w:b/>
          <w:bCs/>
          <w:sz w:val="20"/>
          <w:szCs w:val="20"/>
        </w:rPr>
      </w:pPr>
    </w:p>
    <w:p w:rsidR="00F039FD" w:rsidRPr="00162F07" w:rsidRDefault="00F039FD" w:rsidP="00F039FD">
      <w:pPr>
        <w:rPr>
          <w:rFonts w:ascii="Arial" w:hAnsi="Arial" w:cs="Arial"/>
          <w:b/>
          <w:bCs/>
          <w:sz w:val="20"/>
          <w:szCs w:val="20"/>
        </w:rPr>
      </w:pPr>
    </w:p>
    <w:p w:rsidR="00F039FD" w:rsidRPr="00162F07" w:rsidRDefault="00F039FD" w:rsidP="00F039FD">
      <w:pPr>
        <w:tabs>
          <w:tab w:val="left" w:pos="3213"/>
        </w:tabs>
        <w:suppressAutoHyphens/>
        <w:rPr>
          <w:rFonts w:ascii="Arial" w:hAnsi="Arial" w:cs="Arial"/>
          <w:b/>
          <w:bCs/>
          <w:sz w:val="28"/>
          <w:szCs w:val="28"/>
        </w:rPr>
      </w:pPr>
      <w:r w:rsidRPr="00162F07">
        <w:rPr>
          <w:rFonts w:ascii="Arial" w:hAnsi="Arial"/>
          <w:b/>
          <w:bCs/>
          <w:sz w:val="28"/>
          <w:szCs w:val="28"/>
        </w:rPr>
        <w:t>Illustrations</w:t>
      </w:r>
    </w:p>
    <w:p w:rsidR="00F039FD" w:rsidRPr="00162F07" w:rsidRDefault="00F039FD" w:rsidP="00F039FD">
      <w:pPr>
        <w:tabs>
          <w:tab w:val="left" w:pos="3213"/>
        </w:tabs>
        <w:suppressAutoHyphens/>
        <w:rPr>
          <w:rFonts w:ascii="Arial" w:hAnsi="Arial" w:cs="Arial"/>
          <w:sz w:val="22"/>
          <w:szCs w:val="22"/>
        </w:rPr>
      </w:pPr>
    </w:p>
    <w:tbl>
      <w:tblPr>
        <w:tblStyle w:val="Tabellenraster"/>
        <w:tblW w:w="8393" w:type="dxa"/>
        <w:tblInd w:w="-34" w:type="dxa"/>
        <w:tblLayout w:type="fixed"/>
        <w:tblLook w:val="04A0" w:firstRow="1" w:lastRow="0" w:firstColumn="1" w:lastColumn="0" w:noHBand="0" w:noVBand="1"/>
      </w:tblPr>
      <w:tblGrid>
        <w:gridCol w:w="2439"/>
        <w:gridCol w:w="5954"/>
      </w:tblGrid>
      <w:tr w:rsidR="00F039FD" w:rsidRPr="00162F07" w:rsidTr="00A27632">
        <w:tc>
          <w:tcPr>
            <w:tcW w:w="2439"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tabs>
                <w:tab w:val="left" w:pos="3213"/>
              </w:tabs>
              <w:suppressAutoHyphens/>
              <w:rPr>
                <w:noProof/>
                <w:color w:val="FF0000"/>
              </w:rPr>
            </w:pPr>
            <w:r w:rsidRPr="00162F07">
              <w:rPr>
                <w:noProof/>
                <w:lang w:eastAsia="zh-CN"/>
              </w:rPr>
              <w:drawing>
                <wp:inline distT="0" distB="0" distL="0" distR="0" wp14:anchorId="40624574" wp14:editId="150F572C">
                  <wp:extent cx="1054100" cy="1310606"/>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4081" cy="1323016"/>
                          </a:xfrm>
                          <a:prstGeom prst="rect">
                            <a:avLst/>
                          </a:prstGeom>
                        </pic:spPr>
                      </pic:pic>
                    </a:graphicData>
                  </a:graphic>
                </wp:inline>
              </w:drawing>
            </w:r>
          </w:p>
        </w:tc>
        <w:tc>
          <w:tcPr>
            <w:tcW w:w="5954"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tabs>
                <w:tab w:val="left" w:pos="3213"/>
              </w:tabs>
              <w:suppressAutoHyphens/>
              <w:rPr>
                <w:rFonts w:ascii="Arial" w:hAnsi="Arial" w:cs="Arial"/>
                <w:sz w:val="22"/>
                <w:szCs w:val="22"/>
              </w:rPr>
            </w:pPr>
            <w:r w:rsidRPr="00162F07">
              <w:rPr>
                <w:rFonts w:ascii="Arial" w:hAnsi="Arial"/>
                <w:sz w:val="22"/>
                <w:szCs w:val="22"/>
              </w:rPr>
              <w:t xml:space="preserve">Auteur : Michael Knauer, directeur Fraisage chez Hoffmann Group </w:t>
            </w:r>
          </w:p>
          <w:p w:rsidR="00F039FD" w:rsidRPr="00162F07" w:rsidRDefault="00F039FD" w:rsidP="00A27632">
            <w:pPr>
              <w:rPr>
                <w:rFonts w:ascii="Arial" w:hAnsi="Arial" w:cs="Arial"/>
                <w:b/>
                <w:bCs/>
                <w:color w:val="FF0000"/>
                <w:sz w:val="22"/>
                <w:szCs w:val="22"/>
              </w:rPr>
            </w:pPr>
          </w:p>
        </w:tc>
      </w:tr>
      <w:tr w:rsidR="00F039FD" w:rsidRPr="00162F07" w:rsidTr="00A27632">
        <w:tc>
          <w:tcPr>
            <w:tcW w:w="2439" w:type="dxa"/>
            <w:tcBorders>
              <w:top w:val="single" w:sz="4" w:space="0" w:color="auto"/>
              <w:left w:val="single" w:sz="4" w:space="0" w:color="auto"/>
              <w:bottom w:val="single" w:sz="4" w:space="0" w:color="auto"/>
              <w:right w:val="single" w:sz="4" w:space="0" w:color="auto"/>
            </w:tcBorders>
            <w:hideMark/>
          </w:tcPr>
          <w:p w:rsidR="00F039FD" w:rsidRPr="00162F07" w:rsidRDefault="00F039FD" w:rsidP="00A27632">
            <w:pPr>
              <w:rPr>
                <w:rFonts w:ascii="Arial" w:hAnsi="Arial" w:cs="Arial"/>
                <w:sz w:val="22"/>
                <w:szCs w:val="22"/>
              </w:rPr>
            </w:pPr>
            <w:r w:rsidRPr="00162F07">
              <w:rPr>
                <w:noProof/>
                <w:lang w:eastAsia="zh-CN"/>
              </w:rPr>
              <w:drawing>
                <wp:inline distT="0" distB="0" distL="0" distR="0" wp14:anchorId="088FF945" wp14:editId="165A8E15">
                  <wp:extent cx="715992" cy="1581150"/>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724020" cy="1598879"/>
                          </a:xfrm>
                          <a:prstGeom prst="rect">
                            <a:avLst/>
                          </a:prstGeom>
                          <a:noFill/>
                          <a:ln>
                            <a:noFill/>
                          </a:ln>
                        </pic:spPr>
                      </pic:pic>
                    </a:graphicData>
                  </a:graphic>
                </wp:inline>
              </w:drawing>
            </w:r>
            <w:r w:rsidRPr="00162F07">
              <w:rPr>
                <w:noProof/>
                <w:lang w:eastAsia="zh-CN"/>
              </w:rPr>
              <w:drawing>
                <wp:inline distT="0" distB="0" distL="0" distR="0" wp14:anchorId="2B097015" wp14:editId="241D8ECD">
                  <wp:extent cx="600075" cy="158419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screen">
                            <a:extLst>
                              <a:ext uri="{28A0092B-C50C-407E-A947-70E740481C1C}">
                                <a14:useLocalDpi xmlns:a14="http://schemas.microsoft.com/office/drawing/2010/main"/>
                              </a:ext>
                            </a:extLst>
                          </a:blip>
                          <a:srcRect l="-2" r="-221"/>
                          <a:stretch>
                            <a:fillRect/>
                          </a:stretch>
                        </pic:blipFill>
                        <pic:spPr bwMode="auto">
                          <a:xfrm>
                            <a:off x="0" y="0"/>
                            <a:ext cx="600841" cy="1586220"/>
                          </a:xfrm>
                          <a:prstGeom prst="rect">
                            <a:avLst/>
                          </a:prstGeom>
                          <a:noFill/>
                          <a:ln>
                            <a:noFill/>
                          </a:ln>
                        </pic:spPr>
                      </pic:pic>
                    </a:graphicData>
                  </a:graphic>
                </wp:inline>
              </w:drawing>
            </w:r>
          </w:p>
        </w:tc>
        <w:tc>
          <w:tcPr>
            <w:tcW w:w="5954"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rPr>
                <w:rFonts w:ascii="Arial" w:hAnsi="Arial" w:cs="Arial"/>
                <w:sz w:val="22"/>
                <w:szCs w:val="22"/>
              </w:rPr>
            </w:pPr>
            <w:r w:rsidRPr="00162F07">
              <w:rPr>
                <w:rFonts w:ascii="Arial" w:hAnsi="Arial"/>
                <w:b/>
                <w:bCs/>
                <w:sz w:val="22"/>
                <w:szCs w:val="22"/>
              </w:rPr>
              <w:t>Légende :</w:t>
            </w:r>
            <w:r w:rsidRPr="00162F07">
              <w:rPr>
                <w:rFonts w:ascii="Arial" w:hAnsi="Arial"/>
                <w:sz w:val="22"/>
                <w:szCs w:val="22"/>
              </w:rPr>
              <w:t xml:space="preserve"> Le fraisage PPC (</w:t>
            </w:r>
            <w:proofErr w:type="spellStart"/>
            <w:r w:rsidRPr="00162F07">
              <w:rPr>
                <w:rFonts w:ascii="Arial" w:hAnsi="Arial"/>
                <w:sz w:val="22"/>
                <w:szCs w:val="22"/>
              </w:rPr>
              <w:t>Parabolic</w:t>
            </w:r>
            <w:proofErr w:type="spellEnd"/>
            <w:r w:rsidRPr="00162F07">
              <w:rPr>
                <w:rFonts w:ascii="Arial" w:hAnsi="Arial"/>
                <w:sz w:val="22"/>
                <w:szCs w:val="22"/>
              </w:rPr>
              <w:t xml:space="preserve"> Performance Cutting) permet d’obtenir une meilleure qualité d’état de surface en moins de temps avec un rayon effectif plus grand. </w:t>
            </w:r>
          </w:p>
          <w:p w:rsidR="00F039FD" w:rsidRPr="00162F07" w:rsidRDefault="00F039FD" w:rsidP="00A27632">
            <w:pPr>
              <w:rPr>
                <w:rFonts w:ascii="Arial" w:hAnsi="Arial" w:cs="Arial"/>
                <w:sz w:val="22"/>
                <w:szCs w:val="22"/>
              </w:rPr>
            </w:pPr>
          </w:p>
          <w:p w:rsidR="00F039FD" w:rsidRPr="00162F07" w:rsidRDefault="00F039FD" w:rsidP="00A27632">
            <w:pPr>
              <w:rPr>
                <w:rFonts w:ascii="Arial" w:hAnsi="Arial" w:cs="Arial"/>
                <w:sz w:val="22"/>
                <w:szCs w:val="22"/>
              </w:rPr>
            </w:pPr>
          </w:p>
        </w:tc>
      </w:tr>
      <w:tr w:rsidR="00F039FD" w:rsidRPr="00162F07" w:rsidTr="00A27632">
        <w:tc>
          <w:tcPr>
            <w:tcW w:w="2439"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rPr>
                <w:noProof/>
              </w:rPr>
            </w:pPr>
            <w:r w:rsidRPr="00162F07">
              <w:rPr>
                <w:noProof/>
                <w:lang w:eastAsia="zh-CN"/>
              </w:rPr>
              <w:lastRenderedPageBreak/>
              <w:drawing>
                <wp:inline distT="0" distB="0" distL="0" distR="0" wp14:anchorId="1CFC18A7" wp14:editId="0E4A91C4">
                  <wp:extent cx="1307159" cy="1058819"/>
                  <wp:effectExtent l="0" t="0" r="762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305816" cy="1057731"/>
                          </a:xfrm>
                          <a:prstGeom prst="rect">
                            <a:avLst/>
                          </a:prstGeom>
                        </pic:spPr>
                      </pic:pic>
                    </a:graphicData>
                  </a:graphic>
                </wp:inline>
              </w:drawing>
            </w:r>
          </w:p>
        </w:tc>
        <w:tc>
          <w:tcPr>
            <w:tcW w:w="5954"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rPr>
                <w:rFonts w:ascii="Arial" w:hAnsi="Arial" w:cs="Arial"/>
                <w:b/>
                <w:bCs/>
                <w:sz w:val="22"/>
                <w:szCs w:val="22"/>
              </w:rPr>
            </w:pPr>
            <w:r w:rsidRPr="00162F07">
              <w:rPr>
                <w:rFonts w:ascii="Arial" w:hAnsi="Arial"/>
                <w:b/>
                <w:bCs/>
                <w:sz w:val="22"/>
                <w:szCs w:val="22"/>
              </w:rPr>
              <w:t xml:space="preserve">Légende : </w:t>
            </w:r>
            <w:r w:rsidRPr="00162F07">
              <w:rPr>
                <w:rFonts w:ascii="Arial" w:hAnsi="Arial"/>
                <w:sz w:val="22"/>
                <w:szCs w:val="22"/>
              </w:rPr>
              <w:t>Avec un rayon effectif allant jusqu’à 1 000 millimètres, les fraises PPC ont une surface de contact nettement plus grande que les fraises à bout hémisphérique.</w:t>
            </w:r>
            <w:r w:rsidRPr="00162F07">
              <w:rPr>
                <w:rFonts w:ascii="Arial" w:hAnsi="Arial"/>
                <w:b/>
                <w:bCs/>
                <w:sz w:val="22"/>
                <w:szCs w:val="22"/>
              </w:rPr>
              <w:t xml:space="preserve"> </w:t>
            </w:r>
          </w:p>
        </w:tc>
      </w:tr>
      <w:tr w:rsidR="00F039FD" w:rsidRPr="00162F07" w:rsidTr="00A27632">
        <w:trPr>
          <w:trHeight w:val="353"/>
        </w:trPr>
        <w:tc>
          <w:tcPr>
            <w:tcW w:w="2439"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rPr>
                <w:noProof/>
              </w:rPr>
            </w:pPr>
            <w:r w:rsidRPr="00162F07">
              <w:rPr>
                <w:noProof/>
                <w:lang w:eastAsia="zh-CN"/>
              </w:rPr>
              <w:drawing>
                <wp:inline distT="0" distB="0" distL="0" distR="0" wp14:anchorId="5DC6D089" wp14:editId="2F3B0AC9">
                  <wp:extent cx="958850" cy="813789"/>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981903" cy="833355"/>
                          </a:xfrm>
                          <a:prstGeom prst="rect">
                            <a:avLst/>
                          </a:prstGeom>
                        </pic:spPr>
                      </pic:pic>
                    </a:graphicData>
                  </a:graphic>
                </wp:inline>
              </w:drawing>
            </w:r>
          </w:p>
        </w:tc>
        <w:tc>
          <w:tcPr>
            <w:tcW w:w="5954"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rPr>
                <w:rFonts w:ascii="Arial" w:hAnsi="Arial" w:cs="Arial"/>
                <w:b/>
                <w:bCs/>
                <w:sz w:val="22"/>
                <w:szCs w:val="22"/>
              </w:rPr>
            </w:pPr>
            <w:r w:rsidRPr="00162F07">
              <w:rPr>
                <w:rFonts w:ascii="Arial" w:hAnsi="Arial"/>
                <w:b/>
                <w:bCs/>
                <w:sz w:val="22"/>
                <w:szCs w:val="22"/>
              </w:rPr>
              <w:t xml:space="preserve">Légende : </w:t>
            </w:r>
            <w:r w:rsidRPr="00162F07">
              <w:rPr>
                <w:rFonts w:ascii="Arial" w:hAnsi="Arial"/>
                <w:sz w:val="22"/>
                <w:szCs w:val="22"/>
              </w:rPr>
              <w:t xml:space="preserve">Les fraises PPC pour l’aluminium avec </w:t>
            </w:r>
            <w:r w:rsidRPr="00C57DCF">
              <w:rPr>
                <w:rFonts w:ascii="Arial" w:hAnsi="Arial"/>
                <w:sz w:val="22"/>
                <w:szCs w:val="22"/>
              </w:rPr>
              <w:t>une bonne acuité de coupe peuvent également être utili</w:t>
            </w:r>
            <w:r w:rsidRPr="00162F07">
              <w:rPr>
                <w:rFonts w:ascii="Arial" w:hAnsi="Arial"/>
                <w:sz w:val="22"/>
                <w:szCs w:val="22"/>
              </w:rPr>
              <w:t xml:space="preserve">sées de manière fiable pour les plastiques. </w:t>
            </w:r>
            <w:r w:rsidRPr="00162F07">
              <w:rPr>
                <w:rFonts w:ascii="Arial" w:hAnsi="Arial"/>
                <w:b/>
                <w:bCs/>
                <w:sz w:val="22"/>
                <w:szCs w:val="22"/>
              </w:rPr>
              <w:t xml:space="preserve"> </w:t>
            </w:r>
          </w:p>
        </w:tc>
      </w:tr>
      <w:tr w:rsidR="00F039FD" w:rsidRPr="00162F07" w:rsidTr="00A27632">
        <w:trPr>
          <w:trHeight w:val="353"/>
        </w:trPr>
        <w:tc>
          <w:tcPr>
            <w:tcW w:w="2439"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rPr>
                <w:noProof/>
              </w:rPr>
            </w:pPr>
            <w:r w:rsidRPr="00162F07">
              <w:rPr>
                <w:noProof/>
                <w:lang w:eastAsia="zh-CN"/>
              </w:rPr>
              <w:drawing>
                <wp:inline distT="0" distB="0" distL="0" distR="0" wp14:anchorId="071993E5" wp14:editId="7B4B679E">
                  <wp:extent cx="1385570" cy="1020948"/>
                  <wp:effectExtent l="0" t="0" r="508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7950" cy="1052175"/>
                          </a:xfrm>
                          <a:prstGeom prst="rect">
                            <a:avLst/>
                          </a:prstGeom>
                        </pic:spPr>
                      </pic:pic>
                    </a:graphicData>
                  </a:graphic>
                </wp:inline>
              </w:drawing>
            </w:r>
          </w:p>
        </w:tc>
        <w:tc>
          <w:tcPr>
            <w:tcW w:w="5954"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rPr>
                <w:rFonts w:ascii="Arial" w:hAnsi="Arial" w:cs="Arial"/>
                <w:b/>
                <w:bCs/>
                <w:sz w:val="22"/>
                <w:szCs w:val="22"/>
              </w:rPr>
            </w:pPr>
            <w:r w:rsidRPr="00162F07">
              <w:rPr>
                <w:rFonts w:ascii="Arial" w:hAnsi="Arial"/>
                <w:bCs/>
                <w:sz w:val="22"/>
                <w:szCs w:val="22"/>
              </w:rPr>
              <w:t xml:space="preserve">Les plaquettes sont une alternative intéressante. Hoffmann Group propose des plaquettes GARANT PPC pour le fraisage à segment circulaire avec </w:t>
            </w:r>
            <w:r w:rsidRPr="00162F07">
              <w:rPr>
                <w:rFonts w:ascii="Arial" w:hAnsi="Arial"/>
                <w:sz w:val="22"/>
                <w:szCs w:val="22"/>
              </w:rPr>
              <w:t>arête principale droite ou conique tronquée.</w:t>
            </w:r>
          </w:p>
        </w:tc>
      </w:tr>
      <w:tr w:rsidR="00F039FD" w:rsidRPr="00162F07" w:rsidTr="00A27632">
        <w:trPr>
          <w:trHeight w:val="353"/>
        </w:trPr>
        <w:tc>
          <w:tcPr>
            <w:tcW w:w="2439"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rPr>
                <w:noProof/>
              </w:rPr>
            </w:pPr>
            <w:r w:rsidRPr="00162F07">
              <w:rPr>
                <w:noProof/>
                <w:lang w:eastAsia="zh-CN"/>
              </w:rPr>
              <w:drawing>
                <wp:inline distT="0" distB="0" distL="0" distR="0" wp14:anchorId="16D317C8" wp14:editId="3B43FF0A">
                  <wp:extent cx="1385781" cy="922873"/>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1390961" cy="926323"/>
                          </a:xfrm>
                          <a:prstGeom prst="rect">
                            <a:avLst/>
                          </a:prstGeom>
                        </pic:spPr>
                      </pic:pic>
                    </a:graphicData>
                  </a:graphic>
                </wp:inline>
              </w:drawing>
            </w:r>
          </w:p>
        </w:tc>
        <w:tc>
          <w:tcPr>
            <w:tcW w:w="5954"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rPr>
                <w:rFonts w:ascii="Arial" w:hAnsi="Arial" w:cs="Arial"/>
                <w:b/>
                <w:bCs/>
                <w:sz w:val="22"/>
                <w:szCs w:val="22"/>
              </w:rPr>
            </w:pPr>
            <w:r w:rsidRPr="00162F07">
              <w:rPr>
                <w:rFonts w:ascii="Arial" w:hAnsi="Arial"/>
                <w:b/>
                <w:bCs/>
                <w:sz w:val="22"/>
                <w:szCs w:val="22"/>
              </w:rPr>
              <w:t>Légende :</w:t>
            </w:r>
            <w:r w:rsidRPr="00162F07">
              <w:rPr>
                <w:rFonts w:ascii="Arial" w:hAnsi="Arial"/>
                <w:sz w:val="22"/>
                <w:szCs w:val="22"/>
              </w:rPr>
              <w:t xml:space="preserve">  L’angle d’attaque fait la différence. </w:t>
            </w:r>
          </w:p>
        </w:tc>
      </w:tr>
      <w:tr w:rsidR="00F039FD" w:rsidRPr="00162F07" w:rsidTr="00A27632">
        <w:trPr>
          <w:trHeight w:val="353"/>
        </w:trPr>
        <w:tc>
          <w:tcPr>
            <w:tcW w:w="2439"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rPr>
                <w:noProof/>
              </w:rPr>
            </w:pPr>
            <w:r w:rsidRPr="00162F07">
              <w:rPr>
                <w:noProof/>
                <w:lang w:eastAsia="zh-CN"/>
              </w:rPr>
              <w:drawing>
                <wp:inline distT="0" distB="0" distL="0" distR="0" wp14:anchorId="3A9C02FE" wp14:editId="0E2B9462">
                  <wp:extent cx="1381125" cy="1059852"/>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1379567" cy="1058657"/>
                          </a:xfrm>
                          <a:prstGeom prst="rect">
                            <a:avLst/>
                          </a:prstGeom>
                        </pic:spPr>
                      </pic:pic>
                    </a:graphicData>
                  </a:graphic>
                </wp:inline>
              </w:drawing>
            </w:r>
          </w:p>
        </w:tc>
        <w:tc>
          <w:tcPr>
            <w:tcW w:w="5954" w:type="dxa"/>
            <w:tcBorders>
              <w:top w:val="single" w:sz="4" w:space="0" w:color="auto"/>
              <w:left w:val="single" w:sz="4" w:space="0" w:color="auto"/>
              <w:bottom w:val="single" w:sz="4" w:space="0" w:color="auto"/>
              <w:right w:val="single" w:sz="4" w:space="0" w:color="auto"/>
            </w:tcBorders>
          </w:tcPr>
          <w:p w:rsidR="00F039FD" w:rsidRPr="00162F07" w:rsidRDefault="00F039FD" w:rsidP="00A27632">
            <w:pPr>
              <w:rPr>
                <w:rFonts w:ascii="Arial" w:hAnsi="Arial" w:cs="Arial"/>
                <w:b/>
                <w:bCs/>
                <w:sz w:val="22"/>
                <w:szCs w:val="22"/>
              </w:rPr>
            </w:pPr>
            <w:r w:rsidRPr="00162F07">
              <w:rPr>
                <w:rFonts w:ascii="Arial" w:hAnsi="Arial"/>
                <w:b/>
                <w:bCs/>
                <w:sz w:val="22"/>
                <w:szCs w:val="22"/>
              </w:rPr>
              <w:t>Légende :</w:t>
            </w:r>
          </w:p>
          <w:p w:rsidR="00F039FD" w:rsidRPr="00162F07" w:rsidRDefault="00F039FD" w:rsidP="00A27632">
            <w:pPr>
              <w:rPr>
                <w:rFonts w:ascii="Arial" w:hAnsi="Arial" w:cs="Arial"/>
                <w:sz w:val="22"/>
                <w:szCs w:val="22"/>
              </w:rPr>
            </w:pPr>
            <w:r w:rsidRPr="00162F07">
              <w:rPr>
                <w:rFonts w:ascii="Arial" w:hAnsi="Arial"/>
                <w:sz w:val="22"/>
                <w:szCs w:val="22"/>
              </w:rPr>
              <w:t xml:space="preserve">Quatre formes de fraises sont généralement utilisées pour l’usinage de géométries de surface complexes. </w:t>
            </w:r>
          </w:p>
        </w:tc>
      </w:tr>
    </w:tbl>
    <w:p w:rsidR="002F457F" w:rsidRDefault="002F457F"/>
    <w:p w:rsidR="00F039FD" w:rsidRDefault="00F039FD"/>
    <w:p w:rsidR="00F039FD" w:rsidRDefault="00F039FD" w:rsidP="00F039FD">
      <w:pPr>
        <w:spacing w:after="240"/>
        <w:rPr>
          <w:rFonts w:ascii="Arial" w:hAnsi="Arial" w:cs="Arial"/>
          <w:b/>
          <w:bCs/>
          <w:color w:val="ED7D31"/>
        </w:rPr>
      </w:pPr>
      <w:r>
        <w:rPr>
          <w:rFonts w:ascii="Arial" w:hAnsi="Arial" w:cs="Arial"/>
          <w:b/>
          <w:bCs/>
          <w:color w:val="ED7D31"/>
        </w:rPr>
        <w:t>À propos de Hoffmann Group ®</w:t>
      </w:r>
    </w:p>
    <w:p w:rsidR="00F039FD" w:rsidRDefault="00F039FD" w:rsidP="00F039FD">
      <w:pPr>
        <w:pStyle w:val="StandardWeb"/>
        <w:spacing w:beforeAutospacing="0" w:after="240" w:afterAutospacing="0" w:line="276" w:lineRule="auto"/>
        <w:ind w:right="50"/>
        <w:jc w:val="both"/>
        <w:rPr>
          <w:rFonts w:ascii="Arial" w:hAnsi="Arial" w:cs="Arial"/>
          <w:color w:val="000000"/>
        </w:rPr>
      </w:pPr>
      <w:r>
        <w:rPr>
          <w:rFonts w:ascii="Arial" w:hAnsi="Arial" w:cs="Arial"/>
          <w:color w:val="000000"/>
        </w:rPr>
        <w:t xml:space="preserve">Partenaire européen pour des outils de qualité, la société </w:t>
      </w:r>
      <w:r>
        <w:rPr>
          <w:rFonts w:ascii="Arial" w:hAnsi="Arial" w:cs="Arial"/>
          <w:color w:val="ED7D31"/>
        </w:rPr>
        <w:t>Hoffmann Group</w:t>
      </w:r>
      <w:r>
        <w:rPr>
          <w:rFonts w:ascii="Arial" w:hAnsi="Arial" w:cs="Arial"/>
          <w:color w:val="ED7D31"/>
          <w:vertAlign w:val="superscript"/>
        </w:rPr>
        <w:t>®</w:t>
      </w:r>
      <w:r>
        <w:rPr>
          <w:rFonts w:ascii="Arial" w:hAnsi="Arial" w:cs="Arial"/>
          <w:color w:val="ED7D31"/>
        </w:rPr>
        <w:t xml:space="preserve"> </w:t>
      </w:r>
      <w:r>
        <w:rPr>
          <w:rFonts w:ascii="Arial" w:hAnsi="Arial" w:cs="Arial"/>
          <w:color w:val="000000"/>
        </w:rPr>
        <w:t>conjugue les compétences de distributeur, de fabricant et de prestataire de services. Cette combinaison garantit à plus de 135 000 clients une qualité maximale, une sécurité d’approvisionnement et de productivité dans le domaine de l’Industrie. Hoffmann Group</w:t>
      </w:r>
      <w:r>
        <w:rPr>
          <w:rFonts w:ascii="Arial" w:hAnsi="Arial" w:cs="Arial"/>
          <w:color w:val="000000"/>
          <w:vertAlign w:val="superscript"/>
        </w:rPr>
        <w:t>®</w:t>
      </w:r>
      <w:r>
        <w:rPr>
          <w:rFonts w:ascii="Arial" w:hAnsi="Arial" w:cs="Arial"/>
          <w:color w:val="000000"/>
        </w:rPr>
        <w:t xml:space="preserve"> compte plus de 4 000 collaborateurs et distribue ses produits et ses services aussi bien à des entreprises cotées en bourse qu’à des PME implantées dans plus de 50 pays partout dans le monde. En 2019, plus de 1,4 milliard d’euros de chiffre d’affaires a été généré dans le monde entier. Aux côtés de sa marque premium Garant, Hoffmann Group</w:t>
      </w:r>
      <w:r>
        <w:rPr>
          <w:rFonts w:ascii="Arial" w:hAnsi="Arial" w:cs="Arial"/>
          <w:color w:val="000000"/>
          <w:vertAlign w:val="superscript"/>
        </w:rPr>
        <w:t>®</w:t>
      </w:r>
      <w:r>
        <w:rPr>
          <w:rFonts w:ascii="Arial" w:hAnsi="Arial" w:cs="Arial"/>
          <w:color w:val="000000"/>
        </w:rPr>
        <w:t xml:space="preserve"> propose 90 000 outils de qualité provenant des principaux fabricants mondiaux dans les domaines de l’usinage, des accessoires machines, de la métrologie, de l’abrasif, de l’outillage manuel, de la fourniture industrielle et des équipements d’atelier. Fort d’un service Client omniprésent assuré par plus de 1 400 conseillers et techniciens, et offrant une capacité de livraison de 99% certifiée par le </w:t>
      </w:r>
      <w:proofErr w:type="spellStart"/>
      <w:r>
        <w:rPr>
          <w:rFonts w:ascii="Arial" w:hAnsi="Arial" w:cs="Arial"/>
          <w:color w:val="000000"/>
        </w:rPr>
        <w:t>TüV</w:t>
      </w:r>
      <w:proofErr w:type="spellEnd"/>
      <w:r>
        <w:rPr>
          <w:rFonts w:ascii="Arial" w:hAnsi="Arial" w:cs="Arial"/>
          <w:color w:val="000000"/>
        </w:rPr>
        <w:t>, l’expert en outils de qualité, dont le siège est basé à Munich, assure un partenariat efficace, durable et constructif à ses Clients.</w:t>
      </w:r>
    </w:p>
    <w:p w:rsidR="00F039FD" w:rsidRDefault="00F039FD" w:rsidP="00F039FD">
      <w:pPr>
        <w:rPr>
          <w:rFonts w:ascii="Arial" w:hAnsi="Arial" w:cs="Arial"/>
        </w:rPr>
      </w:pPr>
      <w:r>
        <w:rPr>
          <w:rFonts w:ascii="Arial" w:hAnsi="Arial" w:cs="Arial"/>
          <w:b/>
          <w:bCs/>
        </w:rPr>
        <w:t>Pour plus d’informations, visitez le site</w:t>
      </w:r>
      <w:r>
        <w:rPr>
          <w:rFonts w:ascii="Arial" w:hAnsi="Arial" w:cs="Arial"/>
          <w:b/>
          <w:bCs/>
          <w:color w:val="ED7D31"/>
        </w:rPr>
        <w:t xml:space="preserve"> </w:t>
      </w:r>
      <w:hyperlink r:id="rId17" w:history="1">
        <w:r>
          <w:rPr>
            <w:rStyle w:val="Hyperlink"/>
            <w:rFonts w:cs="Arial"/>
            <w:b/>
            <w:bCs/>
            <w:color w:val="ED7D31"/>
          </w:rPr>
          <w:t>www.hoffmann-group.com</w:t>
        </w:r>
      </w:hyperlink>
    </w:p>
    <w:p w:rsidR="00F039FD" w:rsidRDefault="00F039FD" w:rsidP="00F039FD">
      <w:pPr>
        <w:suppressAutoHyphens/>
        <w:rPr>
          <w:rFonts w:ascii="Arial" w:hAnsi="Arial" w:cs="Arial"/>
          <w:b/>
        </w:rPr>
      </w:pPr>
    </w:p>
    <w:p w:rsidR="00F039FD" w:rsidRDefault="00F039FD" w:rsidP="00F039FD">
      <w:pPr>
        <w:tabs>
          <w:tab w:val="left" w:pos="6237"/>
        </w:tabs>
        <w:jc w:val="both"/>
        <w:rPr>
          <w:rFonts w:ascii="Arial" w:hAnsi="Arial" w:cs="Arial"/>
          <w:b/>
        </w:rPr>
      </w:pPr>
      <w:r>
        <w:rPr>
          <w:rFonts w:ascii="Arial" w:hAnsi="Arial" w:cs="Arial"/>
          <w:b/>
        </w:rPr>
        <w:t>Contact presse</w:t>
      </w:r>
    </w:p>
    <w:p w:rsidR="00F039FD" w:rsidRDefault="00F039FD" w:rsidP="00F039FD">
      <w:pPr>
        <w:tabs>
          <w:tab w:val="left" w:pos="6237"/>
        </w:tabs>
        <w:jc w:val="both"/>
        <w:rPr>
          <w:rFonts w:ascii="Arial" w:hAnsi="Arial" w:cs="Arial"/>
          <w:b/>
        </w:rPr>
      </w:pPr>
      <w:r>
        <w:rPr>
          <w:rFonts w:ascii="Arial" w:hAnsi="Arial" w:cs="Arial"/>
          <w:b/>
        </w:rPr>
        <w:t>Hoffmann France SAS</w:t>
      </w:r>
    </w:p>
    <w:p w:rsidR="00F039FD" w:rsidRDefault="00F039FD" w:rsidP="00F039FD">
      <w:pPr>
        <w:tabs>
          <w:tab w:val="left" w:pos="6237"/>
        </w:tabs>
        <w:jc w:val="both"/>
        <w:rPr>
          <w:rFonts w:ascii="Arial" w:hAnsi="Arial" w:cs="Arial"/>
        </w:rPr>
      </w:pPr>
      <w:r>
        <w:rPr>
          <w:rFonts w:ascii="Arial" w:hAnsi="Arial" w:cs="Arial"/>
        </w:rPr>
        <w:t>1 rue Gay Lussac</w:t>
      </w:r>
    </w:p>
    <w:p w:rsidR="00F039FD" w:rsidRDefault="00F039FD" w:rsidP="00F039FD">
      <w:pPr>
        <w:tabs>
          <w:tab w:val="left" w:pos="6237"/>
        </w:tabs>
        <w:jc w:val="both"/>
        <w:rPr>
          <w:rFonts w:ascii="Arial" w:hAnsi="Arial" w:cs="Arial"/>
          <w:lang w:val="en-US"/>
        </w:rPr>
      </w:pPr>
      <w:r>
        <w:rPr>
          <w:rFonts w:ascii="Arial" w:hAnsi="Arial" w:cs="Arial"/>
          <w:lang w:val="en-US"/>
        </w:rPr>
        <w:t>F+67410 DRUSENHEIM</w:t>
      </w:r>
    </w:p>
    <w:p w:rsidR="00F039FD" w:rsidRDefault="005028A0" w:rsidP="00F039FD">
      <w:pPr>
        <w:tabs>
          <w:tab w:val="left" w:pos="284"/>
          <w:tab w:val="left" w:pos="426"/>
          <w:tab w:val="left" w:pos="6237"/>
        </w:tabs>
        <w:jc w:val="both"/>
        <w:rPr>
          <w:rFonts w:ascii="Arial" w:hAnsi="Arial" w:cs="Arial"/>
          <w:color w:val="FF6600"/>
          <w:lang w:val="en-US"/>
        </w:rPr>
      </w:pPr>
      <w:hyperlink r:id="rId18" w:history="1">
        <w:r w:rsidR="00F039FD">
          <w:rPr>
            <w:rStyle w:val="Hyperlink"/>
            <w:rFonts w:cs="Arial"/>
            <w:color w:val="FF6600"/>
            <w:lang w:val="en-US"/>
          </w:rPr>
          <w:t>www.hoffmann-group.com</w:t>
        </w:r>
      </w:hyperlink>
    </w:p>
    <w:p w:rsidR="00F039FD" w:rsidRDefault="00F039FD" w:rsidP="00F039FD">
      <w:pPr>
        <w:jc w:val="both"/>
        <w:rPr>
          <w:rFonts w:ascii="Arial" w:hAnsi="Arial" w:cs="Arial"/>
          <w:lang w:val="en-US"/>
        </w:rPr>
      </w:pPr>
    </w:p>
    <w:p w:rsidR="00F039FD" w:rsidRDefault="00F039FD" w:rsidP="00F039FD">
      <w:pPr>
        <w:jc w:val="both"/>
        <w:rPr>
          <w:rFonts w:ascii="Arial" w:hAnsi="Arial" w:cs="Arial"/>
          <w:lang w:val="de-DE"/>
        </w:rPr>
      </w:pPr>
      <w:r>
        <w:rPr>
          <w:rFonts w:ascii="Arial" w:hAnsi="Arial" w:cs="Arial"/>
          <w:lang w:val="de-DE"/>
        </w:rPr>
        <w:t>Eric SCHEEG</w:t>
      </w:r>
    </w:p>
    <w:p w:rsidR="00F039FD" w:rsidRPr="00C624D5" w:rsidRDefault="00F039FD" w:rsidP="00F039FD">
      <w:pPr>
        <w:jc w:val="both"/>
        <w:rPr>
          <w:rFonts w:ascii="Arial" w:hAnsi="Arial" w:cs="Arial"/>
          <w:lang w:val="en-US"/>
        </w:rPr>
      </w:pPr>
      <w:proofErr w:type="spellStart"/>
      <w:r w:rsidRPr="00C624D5">
        <w:rPr>
          <w:rFonts w:ascii="Arial" w:hAnsi="Arial" w:cs="Arial"/>
          <w:lang w:val="en-US"/>
        </w:rPr>
        <w:t>Tél</w:t>
      </w:r>
      <w:proofErr w:type="spellEnd"/>
      <w:proofErr w:type="gramStart"/>
      <w:r w:rsidRPr="00C624D5">
        <w:rPr>
          <w:rFonts w:ascii="Arial" w:hAnsi="Arial" w:cs="Arial"/>
          <w:lang w:val="en-US"/>
        </w:rPr>
        <w:t>. :</w:t>
      </w:r>
      <w:proofErr w:type="gramEnd"/>
      <w:r w:rsidRPr="00C624D5">
        <w:rPr>
          <w:rFonts w:ascii="Arial" w:hAnsi="Arial" w:cs="Arial"/>
          <w:lang w:val="en-US"/>
        </w:rPr>
        <w:t xml:space="preserve"> +</w:t>
      </w:r>
      <w:r w:rsidRPr="00C624D5">
        <w:rPr>
          <w:rStyle w:val="baec5a81-e4d6-4674-97f3-e9220f0136c1"/>
          <w:rFonts w:ascii="Arial" w:hAnsi="Arial" w:cs="Arial"/>
          <w:color w:val="000000"/>
          <w:lang w:val="en-US"/>
        </w:rPr>
        <w:t xml:space="preserve">33 (0)3 90 55 12 73 </w:t>
      </w:r>
    </w:p>
    <w:p w:rsidR="00F039FD" w:rsidRPr="00F039FD" w:rsidRDefault="00F039FD" w:rsidP="00F039FD">
      <w:pPr>
        <w:tabs>
          <w:tab w:val="left" w:pos="284"/>
          <w:tab w:val="left" w:pos="426"/>
          <w:tab w:val="left" w:pos="6237"/>
        </w:tabs>
        <w:jc w:val="both"/>
        <w:rPr>
          <w:rFonts w:ascii="Arial" w:hAnsi="Arial" w:cs="Arial"/>
          <w:b/>
          <w:bCs/>
          <w:lang w:val="en-US"/>
        </w:rPr>
      </w:pPr>
      <w:proofErr w:type="gramStart"/>
      <w:r w:rsidRPr="00F039FD">
        <w:rPr>
          <w:rFonts w:ascii="Arial" w:hAnsi="Arial" w:cs="Arial"/>
          <w:lang w:val="en-US"/>
        </w:rPr>
        <w:t>E-mail :</w:t>
      </w:r>
      <w:proofErr w:type="gramEnd"/>
      <w:r w:rsidRPr="00F039FD">
        <w:rPr>
          <w:rFonts w:ascii="Arial" w:hAnsi="Arial" w:cs="Arial"/>
          <w:lang w:val="en-US"/>
        </w:rPr>
        <w:t xml:space="preserve"> </w:t>
      </w:r>
      <w:hyperlink r:id="rId19" w:history="1">
        <w:r w:rsidRPr="00F039FD">
          <w:rPr>
            <w:rStyle w:val="Hyperlink"/>
            <w:rFonts w:cs="Arial"/>
            <w:lang w:val="en-US"/>
          </w:rPr>
          <w:t>e.scheeg@hoffmann-group.com</w:t>
        </w:r>
      </w:hyperlink>
    </w:p>
    <w:p w:rsidR="00F039FD" w:rsidRPr="00F039FD" w:rsidRDefault="00953938">
      <w:pPr>
        <w:rPr>
          <w:lang w:val="en-US"/>
        </w:rPr>
      </w:pPr>
      <w:r>
        <w:rPr>
          <w:noProof/>
          <w:lang w:val="en-US"/>
        </w:rPr>
        <w:drawing>
          <wp:inline distT="0" distB="0" distL="0" distR="0">
            <wp:extent cx="5762625" cy="9144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914400"/>
                    </a:xfrm>
                    <a:prstGeom prst="rect">
                      <a:avLst/>
                    </a:prstGeom>
                    <a:noFill/>
                    <a:ln>
                      <a:noFill/>
                    </a:ln>
                  </pic:spPr>
                </pic:pic>
              </a:graphicData>
            </a:graphic>
          </wp:inline>
        </w:drawing>
      </w:r>
    </w:p>
    <w:sectPr w:rsidR="00F039FD" w:rsidRPr="00F039FD">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8A0" w:rsidRDefault="005028A0" w:rsidP="005028A0">
      <w:r>
        <w:separator/>
      </w:r>
    </w:p>
  </w:endnote>
  <w:endnote w:type="continuationSeparator" w:id="0">
    <w:p w:rsidR="005028A0" w:rsidRDefault="005028A0" w:rsidP="0050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8A0" w:rsidRDefault="005028A0" w:rsidP="005028A0">
      <w:r>
        <w:separator/>
      </w:r>
    </w:p>
  </w:footnote>
  <w:footnote w:type="continuationSeparator" w:id="0">
    <w:p w:rsidR="005028A0" w:rsidRDefault="005028A0" w:rsidP="0050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8A0" w:rsidRDefault="005028A0" w:rsidP="005028A0">
    <w:pPr>
      <w:pStyle w:val="Kopfzeile"/>
      <w:jc w:val="right"/>
    </w:pPr>
    <w:r>
      <w:rPr>
        <w:noProof/>
      </w:rPr>
      <w:drawing>
        <wp:inline distT="0" distB="0" distL="0" distR="0">
          <wp:extent cx="2581275" cy="77152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FD"/>
    <w:rsid w:val="00001C90"/>
    <w:rsid w:val="00020F75"/>
    <w:rsid w:val="00026FA8"/>
    <w:rsid w:val="0004156A"/>
    <w:rsid w:val="0004355F"/>
    <w:rsid w:val="0004403A"/>
    <w:rsid w:val="0005713F"/>
    <w:rsid w:val="00063CE9"/>
    <w:rsid w:val="00083085"/>
    <w:rsid w:val="000A6D1F"/>
    <w:rsid w:val="000E23ED"/>
    <w:rsid w:val="000F0AEF"/>
    <w:rsid w:val="0011530B"/>
    <w:rsid w:val="00136AF3"/>
    <w:rsid w:val="00170C66"/>
    <w:rsid w:val="00181B3E"/>
    <w:rsid w:val="00193DFC"/>
    <w:rsid w:val="001A2C0A"/>
    <w:rsid w:val="0020232E"/>
    <w:rsid w:val="00204808"/>
    <w:rsid w:val="002104CA"/>
    <w:rsid w:val="002722D3"/>
    <w:rsid w:val="00283B69"/>
    <w:rsid w:val="00295587"/>
    <w:rsid w:val="00295F93"/>
    <w:rsid w:val="002A6C04"/>
    <w:rsid w:val="002B2988"/>
    <w:rsid w:val="002B3657"/>
    <w:rsid w:val="002F457F"/>
    <w:rsid w:val="003135FF"/>
    <w:rsid w:val="003266CC"/>
    <w:rsid w:val="00330C30"/>
    <w:rsid w:val="00362E17"/>
    <w:rsid w:val="00373C08"/>
    <w:rsid w:val="003819CF"/>
    <w:rsid w:val="00384F08"/>
    <w:rsid w:val="00387DE4"/>
    <w:rsid w:val="003B2B1C"/>
    <w:rsid w:val="003B3B57"/>
    <w:rsid w:val="003C1C93"/>
    <w:rsid w:val="003D0D96"/>
    <w:rsid w:val="003D7DBA"/>
    <w:rsid w:val="003F6FFC"/>
    <w:rsid w:val="003F7328"/>
    <w:rsid w:val="00436B30"/>
    <w:rsid w:val="00492286"/>
    <w:rsid w:val="004A15A8"/>
    <w:rsid w:val="004B38B3"/>
    <w:rsid w:val="004C41EA"/>
    <w:rsid w:val="004E4057"/>
    <w:rsid w:val="004E6FC9"/>
    <w:rsid w:val="005028A0"/>
    <w:rsid w:val="005119B2"/>
    <w:rsid w:val="00526364"/>
    <w:rsid w:val="00527D67"/>
    <w:rsid w:val="005459FA"/>
    <w:rsid w:val="00591B77"/>
    <w:rsid w:val="005E6FE6"/>
    <w:rsid w:val="00617023"/>
    <w:rsid w:val="0062777B"/>
    <w:rsid w:val="00652639"/>
    <w:rsid w:val="006C6D89"/>
    <w:rsid w:val="006C6EB0"/>
    <w:rsid w:val="007170B7"/>
    <w:rsid w:val="00746086"/>
    <w:rsid w:val="00764D5E"/>
    <w:rsid w:val="00765D4C"/>
    <w:rsid w:val="00770335"/>
    <w:rsid w:val="00787C73"/>
    <w:rsid w:val="00796497"/>
    <w:rsid w:val="007E0B58"/>
    <w:rsid w:val="0080738A"/>
    <w:rsid w:val="00864997"/>
    <w:rsid w:val="00875222"/>
    <w:rsid w:val="008D3AA2"/>
    <w:rsid w:val="008E31C6"/>
    <w:rsid w:val="008F0B08"/>
    <w:rsid w:val="008F508F"/>
    <w:rsid w:val="00953938"/>
    <w:rsid w:val="009A419F"/>
    <w:rsid w:val="009D3D3E"/>
    <w:rsid w:val="00A5722C"/>
    <w:rsid w:val="00A91101"/>
    <w:rsid w:val="00A96513"/>
    <w:rsid w:val="00AB7291"/>
    <w:rsid w:val="00AF0D50"/>
    <w:rsid w:val="00B2478C"/>
    <w:rsid w:val="00B25AA5"/>
    <w:rsid w:val="00B27F95"/>
    <w:rsid w:val="00B45D24"/>
    <w:rsid w:val="00B659D2"/>
    <w:rsid w:val="00B7263C"/>
    <w:rsid w:val="00B90F7F"/>
    <w:rsid w:val="00B92E78"/>
    <w:rsid w:val="00B938E5"/>
    <w:rsid w:val="00BD3ABD"/>
    <w:rsid w:val="00BD65A1"/>
    <w:rsid w:val="00BD7BE4"/>
    <w:rsid w:val="00C230B0"/>
    <w:rsid w:val="00C66A96"/>
    <w:rsid w:val="00C91C40"/>
    <w:rsid w:val="00CB6789"/>
    <w:rsid w:val="00D05D49"/>
    <w:rsid w:val="00D148A2"/>
    <w:rsid w:val="00D32726"/>
    <w:rsid w:val="00D6212C"/>
    <w:rsid w:val="00D6271A"/>
    <w:rsid w:val="00D71366"/>
    <w:rsid w:val="00DA3B4D"/>
    <w:rsid w:val="00DB79C3"/>
    <w:rsid w:val="00E02DA7"/>
    <w:rsid w:val="00E129F7"/>
    <w:rsid w:val="00E141E6"/>
    <w:rsid w:val="00E41731"/>
    <w:rsid w:val="00E45BC6"/>
    <w:rsid w:val="00E46836"/>
    <w:rsid w:val="00E75B11"/>
    <w:rsid w:val="00E83EF2"/>
    <w:rsid w:val="00E915E1"/>
    <w:rsid w:val="00EA3F90"/>
    <w:rsid w:val="00EC756A"/>
    <w:rsid w:val="00F039FD"/>
    <w:rsid w:val="00F050A6"/>
    <w:rsid w:val="00F420B1"/>
    <w:rsid w:val="00F442B2"/>
    <w:rsid w:val="00F44C41"/>
    <w:rsid w:val="00F908CE"/>
    <w:rsid w:val="00F90F36"/>
    <w:rsid w:val="00FB2195"/>
    <w:rsid w:val="00FC45F6"/>
    <w:rsid w:val="00FD2771"/>
    <w:rsid w:val="00FE2B9B"/>
    <w:rsid w:val="00FE4C07"/>
    <w:rsid w:val="00FF0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AC7D1-39BC-47D0-84B4-6F7C359D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9F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039F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039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39FD"/>
    <w:rPr>
      <w:rFonts w:ascii="Segoe UI" w:eastAsia="Times New Roman" w:hAnsi="Segoe UI" w:cs="Segoe UI"/>
      <w:sz w:val="18"/>
      <w:szCs w:val="18"/>
      <w:lang w:eastAsia="de-DE"/>
    </w:rPr>
  </w:style>
  <w:style w:type="character" w:styleId="Hyperlink">
    <w:name w:val="Hyperlink"/>
    <w:basedOn w:val="Absatz-Standardschriftart"/>
    <w:uiPriority w:val="99"/>
    <w:semiHidden/>
    <w:unhideWhenUsed/>
    <w:rsid w:val="00F039FD"/>
    <w:rPr>
      <w:color w:val="0563C1"/>
      <w:u w:val="single"/>
    </w:rPr>
  </w:style>
  <w:style w:type="paragraph" w:styleId="StandardWeb">
    <w:name w:val="Normal (Web)"/>
    <w:basedOn w:val="Standard"/>
    <w:uiPriority w:val="99"/>
    <w:semiHidden/>
    <w:unhideWhenUsed/>
    <w:rsid w:val="00F039FD"/>
    <w:pPr>
      <w:spacing w:before="100" w:beforeAutospacing="1" w:after="100" w:afterAutospacing="1"/>
    </w:pPr>
    <w:rPr>
      <w:rFonts w:ascii="Calibri" w:eastAsiaTheme="minorHAnsi" w:hAnsi="Calibri" w:cs="Calibri"/>
      <w:sz w:val="22"/>
      <w:szCs w:val="22"/>
      <w:lang w:eastAsia="fr-FR"/>
    </w:rPr>
  </w:style>
  <w:style w:type="character" w:customStyle="1" w:styleId="baec5a81-e4d6-4674-97f3-e9220f0136c1">
    <w:name w:val="baec5a81-e4d6-4674-97f3-e9220f0136c1"/>
    <w:basedOn w:val="Absatz-Standardschriftart"/>
    <w:rsid w:val="00F039FD"/>
  </w:style>
  <w:style w:type="paragraph" w:styleId="Kopfzeile">
    <w:name w:val="header"/>
    <w:basedOn w:val="Standard"/>
    <w:link w:val="KopfzeileZchn"/>
    <w:uiPriority w:val="99"/>
    <w:unhideWhenUsed/>
    <w:rsid w:val="005028A0"/>
    <w:pPr>
      <w:tabs>
        <w:tab w:val="center" w:pos="4536"/>
        <w:tab w:val="right" w:pos="9072"/>
      </w:tabs>
    </w:pPr>
  </w:style>
  <w:style w:type="character" w:customStyle="1" w:styleId="KopfzeileZchn">
    <w:name w:val="Kopfzeile Zchn"/>
    <w:basedOn w:val="Absatz-Standardschriftart"/>
    <w:link w:val="Kopfzeile"/>
    <w:uiPriority w:val="99"/>
    <w:rsid w:val="005028A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028A0"/>
    <w:pPr>
      <w:tabs>
        <w:tab w:val="center" w:pos="4536"/>
        <w:tab w:val="right" w:pos="9072"/>
      </w:tabs>
    </w:pPr>
  </w:style>
  <w:style w:type="character" w:customStyle="1" w:styleId="FuzeileZchn">
    <w:name w:val="Fußzeile Zchn"/>
    <w:basedOn w:val="Absatz-Standardschriftart"/>
    <w:link w:val="Fuzeile"/>
    <w:uiPriority w:val="99"/>
    <w:rsid w:val="005028A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hoffmann-group.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hoffmann-group.com/"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e.scheeg@hoffmann-group.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C2D61235CF84C90E40414D00A90B0" ma:contentTypeVersion="6" ma:contentTypeDescription="Crée un document." ma:contentTypeScope="" ma:versionID="3e5df1f14be0566c6363b7fbdcaaba8e">
  <xsd:schema xmlns:xsd="http://www.w3.org/2001/XMLSchema" xmlns:xs="http://www.w3.org/2001/XMLSchema" xmlns:p="http://schemas.microsoft.com/office/2006/metadata/properties" xmlns:ns2="b550beb1-c892-4579-85e1-1b1d39443a62" targetNamespace="http://schemas.microsoft.com/office/2006/metadata/properties" ma:root="true" ma:fieldsID="100cd319091fbb98b117328370574fd5" ns2:_="">
    <xsd:import namespace="b550beb1-c892-4579-85e1-1b1d39443a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0beb1-c892-4579-85e1-1b1d39443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2DC85-4D74-49EA-8C1C-2E78320111F8}">
  <ds:schemaRefs>
    <ds:schemaRef ds:uri="http://schemas.microsoft.com/sharepoint/v3/contenttype/forms"/>
  </ds:schemaRefs>
</ds:datastoreItem>
</file>

<file path=customXml/itemProps2.xml><?xml version="1.0" encoding="utf-8"?>
<ds:datastoreItem xmlns:ds="http://schemas.openxmlformats.org/officeDocument/2006/customXml" ds:itemID="{A80FA309-C637-4917-9D47-DE182A3FD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0beb1-c892-4579-85e1-1b1d39443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9BC13-B45A-481C-AC0F-F247A96954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6643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Scheeg Eric</dc:creator>
  <cp:keywords/>
  <dc:description/>
  <cp:lastModifiedBy>Szabó, Malika</cp:lastModifiedBy>
  <cp:revision>3</cp:revision>
  <dcterms:created xsi:type="dcterms:W3CDTF">2020-05-18T07:17:00Z</dcterms:created>
  <dcterms:modified xsi:type="dcterms:W3CDTF">2020-09-22T14:11:00Z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0x010100385C2D61235CF84C90E40414D00A90B0</vt:lpwstr>
  </property>
</Properties>
</file>