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CB0" w:rsidRDefault="00306CB0" w:rsidP="00306CB0">
      <w:pPr>
        <w:rPr>
          <w:rFonts w:asciiTheme="majorHAnsi" w:hAnsiTheme="majorHAnsi" w:cstheme="majorHAnsi"/>
          <w:b/>
          <w:sz w:val="28"/>
        </w:rPr>
      </w:pPr>
    </w:p>
    <w:p w:rsidR="00741A83" w:rsidRDefault="00741A83" w:rsidP="00306CB0">
      <w:pPr>
        <w:rPr>
          <w:rFonts w:asciiTheme="majorHAnsi" w:hAnsiTheme="majorHAnsi" w:cstheme="majorHAnsi"/>
          <w:b/>
          <w:sz w:val="28"/>
        </w:rPr>
      </w:pPr>
    </w:p>
    <w:p w:rsidR="00741A83" w:rsidRDefault="00741A83" w:rsidP="00306CB0">
      <w:pPr>
        <w:rPr>
          <w:rFonts w:asciiTheme="majorHAnsi" w:hAnsiTheme="majorHAnsi" w:cstheme="majorHAnsi"/>
          <w:b/>
          <w:sz w:val="28"/>
        </w:rPr>
      </w:pPr>
    </w:p>
    <w:p w:rsidR="00306CB0" w:rsidRDefault="00306CB0" w:rsidP="00306CB0">
      <w:pPr>
        <w:rPr>
          <w:rFonts w:asciiTheme="majorHAnsi" w:hAnsiTheme="majorHAnsi" w:cstheme="majorHAnsi"/>
          <w:b/>
          <w:sz w:val="28"/>
        </w:rPr>
      </w:pPr>
      <w:r w:rsidRPr="004C36B7">
        <w:rPr>
          <w:rFonts w:asciiTheme="majorHAnsi" w:hAnsiTheme="majorHAnsi" w:cstheme="majorHAnsi"/>
          <w:b/>
          <w:sz w:val="28"/>
        </w:rPr>
        <w:t xml:space="preserve">Armoires de </w:t>
      </w:r>
      <w:r>
        <w:rPr>
          <w:rFonts w:asciiTheme="majorHAnsi" w:hAnsiTheme="majorHAnsi" w:cstheme="majorHAnsi"/>
          <w:b/>
          <w:sz w:val="28"/>
        </w:rPr>
        <w:t>distribution automatique</w:t>
      </w:r>
      <w:r w:rsidRPr="004C36B7">
        <w:rPr>
          <w:rFonts w:asciiTheme="majorHAnsi" w:hAnsiTheme="majorHAnsi" w:cstheme="majorHAnsi"/>
          <w:b/>
          <w:sz w:val="28"/>
        </w:rPr>
        <w:t xml:space="preserve"> GARANT - TOOL24 - Nouveau logiciel GT24S.</w:t>
      </w:r>
    </w:p>
    <w:p w:rsidR="00741A83" w:rsidRPr="004C36B7" w:rsidRDefault="00741A83" w:rsidP="00306CB0">
      <w:pPr>
        <w:rPr>
          <w:rFonts w:asciiTheme="majorHAnsi" w:hAnsiTheme="majorHAnsi" w:cstheme="majorHAnsi"/>
          <w:b/>
          <w:sz w:val="28"/>
        </w:rPr>
      </w:pPr>
    </w:p>
    <w:p w:rsidR="00306CB0" w:rsidRPr="004C36B7" w:rsidRDefault="00306CB0" w:rsidP="00306CB0">
      <w:pPr>
        <w:autoSpaceDE w:val="0"/>
        <w:autoSpaceDN w:val="0"/>
        <w:adjustRightInd w:val="0"/>
        <w:spacing w:line="360" w:lineRule="auto"/>
        <w:ind w:right="-426"/>
        <w:jc w:val="both"/>
        <w:rPr>
          <w:rFonts w:asciiTheme="majorHAnsi" w:hAnsiTheme="majorHAnsi" w:cstheme="majorHAnsi"/>
          <w:b/>
        </w:rPr>
      </w:pPr>
      <w:r w:rsidRPr="004C36B7">
        <w:rPr>
          <w:rFonts w:asciiTheme="majorHAnsi" w:hAnsiTheme="majorHAnsi" w:cstheme="majorHAnsi"/>
          <w:b/>
        </w:rPr>
        <w:t xml:space="preserve">Strasbourg, le </w:t>
      </w:r>
      <w:r w:rsidR="00147FD5">
        <w:rPr>
          <w:rFonts w:asciiTheme="majorHAnsi" w:hAnsiTheme="majorHAnsi" w:cstheme="majorHAnsi"/>
          <w:b/>
        </w:rPr>
        <w:t xml:space="preserve">25 </w:t>
      </w:r>
      <w:r>
        <w:rPr>
          <w:rFonts w:asciiTheme="majorHAnsi" w:hAnsiTheme="majorHAnsi" w:cstheme="majorHAnsi"/>
          <w:b/>
        </w:rPr>
        <w:t>mai</w:t>
      </w:r>
      <w:r w:rsidRPr="004C36B7">
        <w:rPr>
          <w:rFonts w:asciiTheme="majorHAnsi" w:hAnsiTheme="majorHAnsi" w:cstheme="majorHAnsi"/>
          <w:b/>
        </w:rPr>
        <w:t xml:space="preserve"> 2020 – Afin d’accroître le confort et la puissance de nos Armoires de </w:t>
      </w:r>
      <w:r>
        <w:rPr>
          <w:rFonts w:asciiTheme="majorHAnsi" w:hAnsiTheme="majorHAnsi" w:cstheme="majorHAnsi"/>
          <w:b/>
        </w:rPr>
        <w:t xml:space="preserve">distribution automatique </w:t>
      </w:r>
      <w:r w:rsidRPr="004C36B7">
        <w:rPr>
          <w:rFonts w:asciiTheme="majorHAnsi" w:hAnsiTheme="majorHAnsi" w:cstheme="majorHAnsi"/>
          <w:b/>
        </w:rPr>
        <w:t xml:space="preserve">GARANT – TOOL24, Hoffmann </w:t>
      </w:r>
      <w:r>
        <w:rPr>
          <w:rFonts w:asciiTheme="majorHAnsi" w:hAnsiTheme="majorHAnsi" w:cstheme="majorHAnsi"/>
          <w:b/>
        </w:rPr>
        <w:t>a</w:t>
      </w:r>
      <w:r w:rsidRPr="004C36B7">
        <w:rPr>
          <w:rFonts w:asciiTheme="majorHAnsi" w:hAnsiTheme="majorHAnsi" w:cstheme="majorHAnsi"/>
          <w:b/>
        </w:rPr>
        <w:t xml:space="preserve"> développé un nouveau logiciel prêt à relever les d</w:t>
      </w:r>
      <w:bookmarkStart w:id="0" w:name="_GoBack"/>
      <w:bookmarkEnd w:id="0"/>
      <w:r w:rsidRPr="004C36B7">
        <w:rPr>
          <w:rFonts w:asciiTheme="majorHAnsi" w:hAnsiTheme="majorHAnsi" w:cstheme="majorHAnsi"/>
          <w:b/>
        </w:rPr>
        <w:t xml:space="preserve">éfis </w:t>
      </w:r>
      <w:r>
        <w:rPr>
          <w:rFonts w:asciiTheme="majorHAnsi" w:hAnsiTheme="majorHAnsi" w:cstheme="majorHAnsi"/>
          <w:b/>
        </w:rPr>
        <w:t>de l’</w:t>
      </w:r>
      <w:r w:rsidRPr="004C36B7">
        <w:rPr>
          <w:rFonts w:asciiTheme="majorHAnsi" w:hAnsiTheme="majorHAnsi" w:cstheme="majorHAnsi"/>
          <w:b/>
        </w:rPr>
        <w:t>Industrie 4.0</w:t>
      </w:r>
      <w:r>
        <w:rPr>
          <w:rFonts w:asciiTheme="majorHAnsi" w:hAnsiTheme="majorHAnsi" w:cstheme="majorHAnsi"/>
          <w:b/>
        </w:rPr>
        <w:t>.</w:t>
      </w:r>
    </w:p>
    <w:p w:rsidR="00306CB0" w:rsidRPr="004C36B7" w:rsidRDefault="00306CB0" w:rsidP="00306CB0">
      <w:pPr>
        <w:autoSpaceDE w:val="0"/>
        <w:autoSpaceDN w:val="0"/>
        <w:adjustRightInd w:val="0"/>
        <w:spacing w:line="360" w:lineRule="auto"/>
        <w:ind w:right="-426"/>
        <w:jc w:val="both"/>
        <w:rPr>
          <w:rFonts w:asciiTheme="majorHAnsi" w:hAnsiTheme="majorHAnsi" w:cstheme="majorHAnsi"/>
          <w:b/>
        </w:rPr>
      </w:pPr>
      <w:r>
        <w:rPr>
          <w:rFonts w:asciiTheme="majorHAnsi" w:hAnsiTheme="majorHAnsi" w:cstheme="majorHAnsi"/>
        </w:rPr>
        <w:t>Le</w:t>
      </w:r>
      <w:r w:rsidRPr="004C36B7">
        <w:rPr>
          <w:rFonts w:asciiTheme="majorHAnsi" w:hAnsiTheme="majorHAnsi" w:cstheme="majorHAnsi"/>
        </w:rPr>
        <w:t xml:space="preserve"> programme d’Armoires </w:t>
      </w:r>
      <w:r>
        <w:rPr>
          <w:rFonts w:asciiTheme="majorHAnsi" w:hAnsiTheme="majorHAnsi" w:cstheme="majorHAnsi"/>
        </w:rPr>
        <w:t>de distribution automatique</w:t>
      </w:r>
      <w:r w:rsidRPr="004C36B7">
        <w:rPr>
          <w:rFonts w:asciiTheme="majorHAnsi" w:hAnsiTheme="majorHAnsi" w:cstheme="majorHAnsi"/>
        </w:rPr>
        <w:t xml:space="preserve"> GARANT-TOOL24 est destiné à ma</w:t>
      </w:r>
      <w:r>
        <w:rPr>
          <w:rFonts w:asciiTheme="majorHAnsi" w:hAnsiTheme="majorHAnsi" w:cstheme="majorHAnsi"/>
        </w:rPr>
        <w:t>î</w:t>
      </w:r>
      <w:r w:rsidRPr="004C36B7">
        <w:rPr>
          <w:rFonts w:asciiTheme="majorHAnsi" w:hAnsiTheme="majorHAnsi" w:cstheme="majorHAnsi"/>
        </w:rPr>
        <w:t xml:space="preserve">triser les consommations et réapprovisionnements des articles de classe C à forte rotation ceci afin de réduire tout problème de rupture de stock ou de </w:t>
      </w:r>
      <w:r w:rsidR="00147FD5" w:rsidRPr="004C36B7">
        <w:rPr>
          <w:rFonts w:asciiTheme="majorHAnsi" w:hAnsiTheme="majorHAnsi" w:cstheme="majorHAnsi"/>
        </w:rPr>
        <w:t>sur</w:t>
      </w:r>
      <w:r w:rsidR="00147FD5">
        <w:rPr>
          <w:rFonts w:asciiTheme="majorHAnsi" w:hAnsiTheme="majorHAnsi" w:cstheme="majorHAnsi"/>
        </w:rPr>
        <w:t>s</w:t>
      </w:r>
      <w:r w:rsidR="00147FD5" w:rsidRPr="004C36B7">
        <w:rPr>
          <w:rFonts w:asciiTheme="majorHAnsi" w:hAnsiTheme="majorHAnsi" w:cstheme="majorHAnsi"/>
        </w:rPr>
        <w:t>tockage</w:t>
      </w:r>
      <w:r w:rsidRPr="004C36B7">
        <w:rPr>
          <w:rFonts w:asciiTheme="majorHAnsi" w:hAnsiTheme="majorHAnsi" w:cstheme="majorHAnsi"/>
        </w:rPr>
        <w:t xml:space="preserve"> occasionnant des surcoûts liés au processus de fabrication.</w:t>
      </w:r>
    </w:p>
    <w:p w:rsidR="00306CB0" w:rsidRPr="004C36B7" w:rsidRDefault="00306CB0" w:rsidP="00306CB0">
      <w:pPr>
        <w:autoSpaceDE w:val="0"/>
        <w:autoSpaceDN w:val="0"/>
        <w:adjustRightInd w:val="0"/>
        <w:spacing w:line="360" w:lineRule="auto"/>
        <w:ind w:right="-426"/>
        <w:jc w:val="both"/>
        <w:rPr>
          <w:rFonts w:asciiTheme="majorHAnsi" w:hAnsiTheme="majorHAnsi" w:cstheme="majorHAnsi"/>
        </w:rPr>
      </w:pPr>
      <w:r w:rsidRPr="004C36B7">
        <w:rPr>
          <w:rFonts w:asciiTheme="majorHAnsi" w:hAnsiTheme="majorHAnsi" w:cstheme="majorHAnsi"/>
        </w:rPr>
        <w:t>La gamme est constituée de différents modèles d’armoires s’adaptant aux différentes exigences dimensionnelles des articles à gérer.</w:t>
      </w:r>
    </w:p>
    <w:p w:rsidR="00306CB0" w:rsidRPr="004C36B7" w:rsidRDefault="00306CB0" w:rsidP="00306CB0">
      <w:pPr>
        <w:autoSpaceDE w:val="0"/>
        <w:autoSpaceDN w:val="0"/>
        <w:adjustRightInd w:val="0"/>
        <w:spacing w:line="360" w:lineRule="auto"/>
        <w:ind w:right="-426"/>
        <w:jc w:val="both"/>
        <w:rPr>
          <w:rFonts w:asciiTheme="majorHAnsi" w:hAnsiTheme="majorHAnsi" w:cstheme="majorHAnsi"/>
        </w:rPr>
      </w:pPr>
      <w:r w:rsidRPr="004C36B7">
        <w:rPr>
          <w:rFonts w:asciiTheme="majorHAnsi" w:hAnsiTheme="majorHAnsi" w:cstheme="majorHAnsi"/>
          <w:noProof/>
        </w:rPr>
        <w:drawing>
          <wp:inline distT="0" distB="0" distL="0" distR="0" wp14:anchorId="0E81068A" wp14:editId="06E48F16">
            <wp:extent cx="5760720" cy="17843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84350"/>
                    </a:xfrm>
                    <a:prstGeom prst="rect">
                      <a:avLst/>
                    </a:prstGeom>
                  </pic:spPr>
                </pic:pic>
              </a:graphicData>
            </a:graphic>
          </wp:inline>
        </w:drawing>
      </w:r>
    </w:p>
    <w:p w:rsidR="00306CB0" w:rsidRPr="004C36B7" w:rsidRDefault="00306CB0" w:rsidP="00306CB0">
      <w:pPr>
        <w:autoSpaceDE w:val="0"/>
        <w:autoSpaceDN w:val="0"/>
        <w:adjustRightInd w:val="0"/>
        <w:spacing w:line="360" w:lineRule="auto"/>
        <w:ind w:right="-426"/>
        <w:jc w:val="both"/>
        <w:rPr>
          <w:rFonts w:asciiTheme="majorHAnsi" w:hAnsiTheme="majorHAnsi" w:cstheme="majorHAnsi"/>
        </w:rPr>
      </w:pPr>
      <w:r w:rsidRPr="004C36B7">
        <w:rPr>
          <w:rFonts w:asciiTheme="majorHAnsi" w:hAnsiTheme="majorHAnsi" w:cstheme="majorHAnsi"/>
        </w:rPr>
        <w:t xml:space="preserve">Le </w:t>
      </w:r>
      <w:r>
        <w:rPr>
          <w:rFonts w:asciiTheme="majorHAnsi" w:hAnsiTheme="majorHAnsi" w:cstheme="majorHAnsi"/>
        </w:rPr>
        <w:t xml:space="preserve">nouveau </w:t>
      </w:r>
      <w:r w:rsidRPr="004C36B7">
        <w:rPr>
          <w:rFonts w:asciiTheme="majorHAnsi" w:hAnsiTheme="majorHAnsi" w:cstheme="majorHAnsi"/>
        </w:rPr>
        <w:t>logiciel a été développé pour garantir une gestion efficace des articles consommables tels que les outils coupants et les EPI mais aussi les outils de prêts en particulier ceux disposant d’un rattachement qualité à une certification tel</w:t>
      </w:r>
      <w:r>
        <w:rPr>
          <w:rFonts w:asciiTheme="majorHAnsi" w:hAnsiTheme="majorHAnsi" w:cstheme="majorHAnsi"/>
        </w:rPr>
        <w:t>s</w:t>
      </w:r>
      <w:r w:rsidRPr="004C36B7">
        <w:rPr>
          <w:rFonts w:asciiTheme="majorHAnsi" w:hAnsiTheme="majorHAnsi" w:cstheme="majorHAnsi"/>
        </w:rPr>
        <w:t xml:space="preserve"> que les matériels de métrologie.</w:t>
      </w:r>
    </w:p>
    <w:p w:rsidR="00306CB0" w:rsidRPr="004C36B7" w:rsidRDefault="00306CB0" w:rsidP="00306CB0">
      <w:pPr>
        <w:rPr>
          <w:rFonts w:asciiTheme="majorHAnsi" w:hAnsiTheme="majorHAnsi" w:cstheme="majorHAnsi"/>
        </w:rPr>
      </w:pPr>
      <w:r w:rsidRPr="004C36B7">
        <w:rPr>
          <w:rFonts w:asciiTheme="majorHAnsi" w:hAnsiTheme="majorHAnsi" w:cstheme="majorHAnsi"/>
        </w:rPr>
        <w:t xml:space="preserve">Avec le développement et les nouvelles exigences </w:t>
      </w:r>
      <w:r>
        <w:rPr>
          <w:rFonts w:asciiTheme="majorHAnsi" w:hAnsiTheme="majorHAnsi" w:cstheme="majorHAnsi"/>
        </w:rPr>
        <w:t>de l’</w:t>
      </w:r>
      <w:r w:rsidRPr="004C36B7">
        <w:rPr>
          <w:rFonts w:asciiTheme="majorHAnsi" w:hAnsiTheme="majorHAnsi" w:cstheme="majorHAnsi"/>
        </w:rPr>
        <w:t xml:space="preserve">Industrie 4.0, Hoffmann propose une version moderne de son logiciel de gestion équipant </w:t>
      </w:r>
      <w:r>
        <w:rPr>
          <w:rFonts w:asciiTheme="majorHAnsi" w:hAnsiTheme="majorHAnsi" w:cstheme="majorHAnsi"/>
        </w:rPr>
        <w:t>ses</w:t>
      </w:r>
      <w:r w:rsidRPr="004C36B7">
        <w:rPr>
          <w:rFonts w:asciiTheme="majorHAnsi" w:hAnsiTheme="majorHAnsi" w:cstheme="majorHAnsi"/>
        </w:rPr>
        <w:t xml:space="preserve"> armoires automatisées GARANT - TOOL24.</w:t>
      </w:r>
    </w:p>
    <w:p w:rsidR="00306CB0" w:rsidRPr="004C36B7" w:rsidRDefault="00306CB0" w:rsidP="00306CB0">
      <w:pPr>
        <w:rPr>
          <w:rFonts w:asciiTheme="majorHAnsi" w:hAnsiTheme="majorHAnsi" w:cstheme="majorHAnsi"/>
        </w:rPr>
      </w:pPr>
      <w:r>
        <w:rPr>
          <w:rFonts w:asciiTheme="majorHAnsi" w:hAnsiTheme="majorHAnsi" w:cstheme="majorHAnsi"/>
        </w:rPr>
        <w:t xml:space="preserve">Hoffmann Group a </w:t>
      </w:r>
      <w:r w:rsidRPr="004C36B7">
        <w:rPr>
          <w:rFonts w:asciiTheme="majorHAnsi" w:hAnsiTheme="majorHAnsi" w:cstheme="majorHAnsi"/>
        </w:rPr>
        <w:t>totalement réécrit le software afin de le rendre plus puissant mais aussi plus simple à la fois.</w:t>
      </w:r>
    </w:p>
    <w:p w:rsidR="00306CB0" w:rsidRPr="004C36B7" w:rsidRDefault="00306CB0" w:rsidP="00306CB0">
      <w:pPr>
        <w:rPr>
          <w:rFonts w:asciiTheme="majorHAnsi" w:hAnsiTheme="majorHAnsi" w:cstheme="majorHAnsi"/>
        </w:rPr>
      </w:pPr>
      <w:r w:rsidRPr="004C36B7">
        <w:rPr>
          <w:rFonts w:asciiTheme="majorHAnsi" w:hAnsiTheme="majorHAnsi" w:cstheme="majorHAnsi"/>
        </w:rPr>
        <w:lastRenderedPageBreak/>
        <w:t>L’architecture de GT24S est basé</w:t>
      </w:r>
      <w:r>
        <w:rPr>
          <w:rFonts w:asciiTheme="majorHAnsi" w:hAnsiTheme="majorHAnsi" w:cstheme="majorHAnsi"/>
        </w:rPr>
        <w:t>e</w:t>
      </w:r>
      <w:r w:rsidRPr="004C36B7">
        <w:rPr>
          <w:rFonts w:asciiTheme="majorHAnsi" w:hAnsiTheme="majorHAnsi" w:cstheme="majorHAnsi"/>
        </w:rPr>
        <w:t xml:space="preserve"> sur une structure Client -Serveur. Le serveur TOOL24 fonctionne à partir du PC Local installé dans l’automate. Ce serveur, installé comme un Service, peut être adressé par une application extérieure via une interface REST.</w:t>
      </w:r>
    </w:p>
    <w:p w:rsidR="00306CB0" w:rsidRPr="004C36B7" w:rsidRDefault="00306CB0" w:rsidP="00306CB0">
      <w:pPr>
        <w:rPr>
          <w:rFonts w:asciiTheme="majorHAnsi" w:hAnsiTheme="majorHAnsi" w:cstheme="majorHAnsi"/>
          <w:lang w:val="en-US"/>
        </w:rPr>
      </w:pPr>
      <w:r w:rsidRPr="004C36B7">
        <w:rPr>
          <w:rFonts w:asciiTheme="majorHAnsi" w:hAnsiTheme="majorHAnsi" w:cstheme="majorHAnsi"/>
          <w:noProof/>
        </w:rPr>
        <w:drawing>
          <wp:inline distT="0" distB="0" distL="0" distR="0" wp14:anchorId="09520641" wp14:editId="2AC69520">
            <wp:extent cx="3498850" cy="1801693"/>
            <wp:effectExtent l="0" t="0" r="635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6583" cy="1821123"/>
                    </a:xfrm>
                    <a:prstGeom prst="rect">
                      <a:avLst/>
                    </a:prstGeom>
                  </pic:spPr>
                </pic:pic>
              </a:graphicData>
            </a:graphic>
          </wp:inline>
        </w:drawing>
      </w:r>
    </w:p>
    <w:p w:rsidR="00306CB0" w:rsidRPr="004C36B7" w:rsidRDefault="00306CB0" w:rsidP="00306CB0">
      <w:pPr>
        <w:rPr>
          <w:rFonts w:asciiTheme="majorHAnsi" w:hAnsiTheme="majorHAnsi" w:cstheme="majorHAnsi"/>
        </w:rPr>
      </w:pPr>
      <w:r w:rsidRPr="004C36B7">
        <w:rPr>
          <w:rFonts w:asciiTheme="majorHAnsi" w:hAnsiTheme="majorHAnsi" w:cstheme="majorHAnsi"/>
        </w:rPr>
        <w:t>Ceci ouvre un champ quasi sans limite</w:t>
      </w:r>
      <w:r>
        <w:rPr>
          <w:rFonts w:asciiTheme="majorHAnsi" w:hAnsiTheme="majorHAnsi" w:cstheme="majorHAnsi"/>
        </w:rPr>
        <w:t>s</w:t>
      </w:r>
      <w:r w:rsidRPr="004C36B7">
        <w:rPr>
          <w:rFonts w:asciiTheme="majorHAnsi" w:hAnsiTheme="majorHAnsi" w:cstheme="majorHAnsi"/>
        </w:rPr>
        <w:t xml:space="preserve"> aux possibilités d’interfaçages d</w:t>
      </w:r>
      <w:r>
        <w:rPr>
          <w:rFonts w:asciiTheme="majorHAnsi" w:hAnsiTheme="majorHAnsi" w:cstheme="majorHAnsi"/>
        </w:rPr>
        <w:t xml:space="preserve">u </w:t>
      </w:r>
      <w:r w:rsidRPr="004C36B7">
        <w:rPr>
          <w:rFonts w:asciiTheme="majorHAnsi" w:hAnsiTheme="majorHAnsi" w:cstheme="majorHAnsi"/>
        </w:rPr>
        <w:t>nouveau logiciel GT24S avec d’autres environnements softwares.</w:t>
      </w:r>
    </w:p>
    <w:p w:rsidR="00306CB0" w:rsidRPr="004C36B7" w:rsidRDefault="00306CB0" w:rsidP="00306CB0">
      <w:pPr>
        <w:rPr>
          <w:rFonts w:asciiTheme="majorHAnsi" w:hAnsiTheme="majorHAnsi" w:cstheme="majorHAnsi"/>
        </w:rPr>
      </w:pPr>
      <w:r w:rsidRPr="004C36B7">
        <w:rPr>
          <w:rFonts w:asciiTheme="majorHAnsi" w:hAnsiTheme="majorHAnsi" w:cstheme="majorHAnsi"/>
        </w:rPr>
        <w:t>Il est aussi possible d’administrer de manière centralisée des bases de données de plusieurs systèmes GARANT – TOOL24 séparés mais présent</w:t>
      </w:r>
      <w:r>
        <w:rPr>
          <w:rFonts w:asciiTheme="majorHAnsi" w:hAnsiTheme="majorHAnsi" w:cstheme="majorHAnsi"/>
        </w:rPr>
        <w:t>s</w:t>
      </w:r>
      <w:r w:rsidRPr="004C36B7">
        <w:rPr>
          <w:rFonts w:asciiTheme="majorHAnsi" w:hAnsiTheme="majorHAnsi" w:cstheme="majorHAnsi"/>
        </w:rPr>
        <w:t xml:space="preserve"> sur un même réseau.</w:t>
      </w:r>
    </w:p>
    <w:p w:rsidR="00306CB0" w:rsidRPr="004C36B7" w:rsidRDefault="00306CB0" w:rsidP="00306CB0">
      <w:pPr>
        <w:rPr>
          <w:rFonts w:asciiTheme="majorHAnsi" w:hAnsiTheme="majorHAnsi" w:cstheme="majorHAnsi"/>
        </w:rPr>
      </w:pPr>
      <w:r w:rsidRPr="004C36B7">
        <w:rPr>
          <w:rFonts w:asciiTheme="majorHAnsi" w:hAnsiTheme="majorHAnsi" w:cstheme="majorHAnsi"/>
        </w:rPr>
        <w:t>Par la même occasion cet</w:t>
      </w:r>
      <w:r>
        <w:rPr>
          <w:rFonts w:asciiTheme="majorHAnsi" w:hAnsiTheme="majorHAnsi" w:cstheme="majorHAnsi"/>
        </w:rPr>
        <w:t>te</w:t>
      </w:r>
      <w:r w:rsidRPr="004C36B7">
        <w:rPr>
          <w:rFonts w:asciiTheme="majorHAnsi" w:hAnsiTheme="majorHAnsi" w:cstheme="majorHAnsi"/>
        </w:rPr>
        <w:t xml:space="preserve"> architecture autorise très facilement le déploiement de solutions d’administrations à distance mais aussi l’utilisation d’appareils nomades tel</w:t>
      </w:r>
      <w:r>
        <w:rPr>
          <w:rFonts w:asciiTheme="majorHAnsi" w:hAnsiTheme="majorHAnsi" w:cstheme="majorHAnsi"/>
        </w:rPr>
        <w:t>s</w:t>
      </w:r>
      <w:r w:rsidRPr="004C36B7">
        <w:rPr>
          <w:rFonts w:asciiTheme="majorHAnsi" w:hAnsiTheme="majorHAnsi" w:cstheme="majorHAnsi"/>
        </w:rPr>
        <w:t xml:space="preserve"> que des tablettes.</w:t>
      </w:r>
    </w:p>
    <w:p w:rsidR="00306CB0" w:rsidRPr="004C36B7" w:rsidRDefault="00306CB0" w:rsidP="00306CB0">
      <w:pPr>
        <w:rPr>
          <w:rFonts w:asciiTheme="majorHAnsi" w:hAnsiTheme="majorHAnsi" w:cstheme="majorHAnsi"/>
        </w:rPr>
      </w:pPr>
      <w:r>
        <w:rPr>
          <w:rFonts w:asciiTheme="majorHAnsi" w:hAnsiTheme="majorHAnsi" w:cstheme="majorHAnsi"/>
        </w:rPr>
        <w:t xml:space="preserve">Hoffmann Group en a aussi profité </w:t>
      </w:r>
      <w:r w:rsidRPr="004C36B7">
        <w:rPr>
          <w:rFonts w:asciiTheme="majorHAnsi" w:hAnsiTheme="majorHAnsi" w:cstheme="majorHAnsi"/>
        </w:rPr>
        <w:t>pour enrichir</w:t>
      </w:r>
      <w:r>
        <w:rPr>
          <w:rFonts w:asciiTheme="majorHAnsi" w:hAnsiTheme="majorHAnsi" w:cstheme="majorHAnsi"/>
        </w:rPr>
        <w:t xml:space="preserve"> son logiciel</w:t>
      </w:r>
      <w:r w:rsidRPr="004C36B7">
        <w:rPr>
          <w:rFonts w:asciiTheme="majorHAnsi" w:hAnsiTheme="majorHAnsi" w:cstheme="majorHAnsi"/>
        </w:rPr>
        <w:t xml:space="preserve"> GT24S de nouvelles fonctionnalités le rendant encore plus puissant. Parmi ces nouvelles fonctions nous retiendrons :</w:t>
      </w:r>
    </w:p>
    <w:p w:rsidR="00306CB0" w:rsidRPr="004C36B7" w:rsidRDefault="00306CB0" w:rsidP="00306CB0">
      <w:pPr>
        <w:pStyle w:val="Listenabsatz"/>
        <w:numPr>
          <w:ilvl w:val="0"/>
          <w:numId w:val="1"/>
        </w:numPr>
        <w:rPr>
          <w:rFonts w:asciiTheme="majorHAnsi" w:hAnsiTheme="majorHAnsi" w:cstheme="majorHAnsi"/>
        </w:rPr>
      </w:pPr>
      <w:r>
        <w:rPr>
          <w:rFonts w:asciiTheme="majorHAnsi" w:hAnsiTheme="majorHAnsi" w:cstheme="majorHAnsi"/>
        </w:rPr>
        <w:t>Un m</w:t>
      </w:r>
      <w:r w:rsidRPr="004C36B7">
        <w:rPr>
          <w:rFonts w:asciiTheme="majorHAnsi" w:hAnsiTheme="majorHAnsi" w:cstheme="majorHAnsi"/>
        </w:rPr>
        <w:t>oteur de recherche indexé et plus puissant</w:t>
      </w:r>
    </w:p>
    <w:p w:rsidR="00306CB0" w:rsidRPr="004C36B7" w:rsidRDefault="00306CB0" w:rsidP="00306CB0">
      <w:pPr>
        <w:pStyle w:val="Listenabsatz"/>
        <w:numPr>
          <w:ilvl w:val="0"/>
          <w:numId w:val="1"/>
        </w:numPr>
        <w:rPr>
          <w:rFonts w:asciiTheme="majorHAnsi" w:hAnsiTheme="majorHAnsi" w:cstheme="majorHAnsi"/>
        </w:rPr>
      </w:pPr>
      <w:r>
        <w:rPr>
          <w:rFonts w:asciiTheme="majorHAnsi" w:hAnsiTheme="majorHAnsi" w:cstheme="majorHAnsi"/>
        </w:rPr>
        <w:t>Une g</w:t>
      </w:r>
      <w:r w:rsidRPr="004C36B7">
        <w:rPr>
          <w:rFonts w:asciiTheme="majorHAnsi" w:hAnsiTheme="majorHAnsi" w:cstheme="majorHAnsi"/>
        </w:rPr>
        <w:t xml:space="preserve">estion étendue des outils </w:t>
      </w:r>
      <w:r>
        <w:rPr>
          <w:rFonts w:asciiTheme="majorHAnsi" w:hAnsiTheme="majorHAnsi" w:cstheme="majorHAnsi"/>
        </w:rPr>
        <w:t>r</w:t>
      </w:r>
      <w:r w:rsidRPr="004C36B7">
        <w:rPr>
          <w:rFonts w:asciiTheme="majorHAnsi" w:hAnsiTheme="majorHAnsi" w:cstheme="majorHAnsi"/>
        </w:rPr>
        <w:t>éaffûtés</w:t>
      </w:r>
    </w:p>
    <w:p w:rsidR="00306CB0" w:rsidRPr="004C36B7" w:rsidRDefault="00306CB0" w:rsidP="00306CB0">
      <w:pPr>
        <w:pStyle w:val="Listenabsatz"/>
        <w:numPr>
          <w:ilvl w:val="0"/>
          <w:numId w:val="1"/>
        </w:numPr>
        <w:rPr>
          <w:rFonts w:asciiTheme="majorHAnsi" w:hAnsiTheme="majorHAnsi" w:cstheme="majorHAnsi"/>
        </w:rPr>
      </w:pPr>
      <w:r>
        <w:rPr>
          <w:rFonts w:asciiTheme="majorHAnsi" w:hAnsiTheme="majorHAnsi" w:cstheme="majorHAnsi"/>
        </w:rPr>
        <w:t>Une g</w:t>
      </w:r>
      <w:r w:rsidRPr="004C36B7">
        <w:rPr>
          <w:rFonts w:asciiTheme="majorHAnsi" w:hAnsiTheme="majorHAnsi" w:cstheme="majorHAnsi"/>
        </w:rPr>
        <w:t>estion étendue des outils rattachés à une certification type Métrologie/Dynamométrie</w:t>
      </w:r>
    </w:p>
    <w:p w:rsidR="00306CB0" w:rsidRPr="004C36B7" w:rsidRDefault="00306CB0" w:rsidP="00306CB0">
      <w:pPr>
        <w:pStyle w:val="Listenabsatz"/>
        <w:numPr>
          <w:ilvl w:val="0"/>
          <w:numId w:val="1"/>
        </w:numPr>
        <w:rPr>
          <w:rFonts w:asciiTheme="majorHAnsi" w:hAnsiTheme="majorHAnsi" w:cstheme="majorHAnsi"/>
        </w:rPr>
      </w:pPr>
      <w:r>
        <w:rPr>
          <w:rFonts w:asciiTheme="majorHAnsi" w:hAnsiTheme="majorHAnsi" w:cstheme="majorHAnsi"/>
        </w:rPr>
        <w:t>Une g</w:t>
      </w:r>
      <w:r w:rsidRPr="004C36B7">
        <w:rPr>
          <w:rFonts w:asciiTheme="majorHAnsi" w:hAnsiTheme="majorHAnsi" w:cstheme="majorHAnsi"/>
        </w:rPr>
        <w:t>estion des nomenclatures améliorée</w:t>
      </w:r>
    </w:p>
    <w:p w:rsidR="00306CB0" w:rsidRPr="004C36B7" w:rsidRDefault="00306CB0" w:rsidP="00306CB0">
      <w:pPr>
        <w:pStyle w:val="Listenabsatz"/>
        <w:numPr>
          <w:ilvl w:val="0"/>
          <w:numId w:val="1"/>
        </w:numPr>
        <w:rPr>
          <w:rFonts w:asciiTheme="majorHAnsi" w:hAnsiTheme="majorHAnsi" w:cstheme="majorHAnsi"/>
        </w:rPr>
      </w:pPr>
      <w:r>
        <w:rPr>
          <w:rFonts w:asciiTheme="majorHAnsi" w:hAnsiTheme="majorHAnsi" w:cstheme="majorHAnsi"/>
        </w:rPr>
        <w:t>Un c</w:t>
      </w:r>
      <w:r w:rsidRPr="004C36B7">
        <w:rPr>
          <w:rFonts w:asciiTheme="majorHAnsi" w:hAnsiTheme="majorHAnsi" w:cstheme="majorHAnsi"/>
        </w:rPr>
        <w:t>ompartimentage des tiroirs simplifié</w:t>
      </w:r>
    </w:p>
    <w:p w:rsidR="00306CB0" w:rsidRPr="004C36B7" w:rsidRDefault="00306CB0" w:rsidP="00306CB0">
      <w:pPr>
        <w:pStyle w:val="Listenabsatz"/>
        <w:numPr>
          <w:ilvl w:val="0"/>
          <w:numId w:val="1"/>
        </w:numPr>
        <w:rPr>
          <w:rFonts w:asciiTheme="majorHAnsi" w:hAnsiTheme="majorHAnsi" w:cstheme="majorHAnsi"/>
        </w:rPr>
      </w:pPr>
      <w:r>
        <w:rPr>
          <w:rFonts w:asciiTheme="majorHAnsi" w:hAnsiTheme="majorHAnsi" w:cstheme="majorHAnsi"/>
        </w:rPr>
        <w:t>Une f</w:t>
      </w:r>
      <w:r w:rsidRPr="004C36B7">
        <w:rPr>
          <w:rFonts w:asciiTheme="majorHAnsi" w:hAnsiTheme="majorHAnsi" w:cstheme="majorHAnsi"/>
        </w:rPr>
        <w:t>onction d’inventaire améliorée</w:t>
      </w:r>
    </w:p>
    <w:p w:rsidR="00306CB0" w:rsidRPr="004C36B7" w:rsidRDefault="00306CB0" w:rsidP="00306CB0">
      <w:pPr>
        <w:pStyle w:val="Listenabsatz"/>
        <w:numPr>
          <w:ilvl w:val="0"/>
          <w:numId w:val="1"/>
        </w:numPr>
        <w:rPr>
          <w:rFonts w:asciiTheme="majorHAnsi" w:hAnsiTheme="majorHAnsi" w:cstheme="majorHAnsi"/>
        </w:rPr>
      </w:pPr>
      <w:r>
        <w:rPr>
          <w:rFonts w:asciiTheme="majorHAnsi" w:hAnsiTheme="majorHAnsi" w:cstheme="majorHAnsi"/>
        </w:rPr>
        <w:t>Un m</w:t>
      </w:r>
      <w:r w:rsidRPr="004C36B7">
        <w:rPr>
          <w:rFonts w:asciiTheme="majorHAnsi" w:hAnsiTheme="majorHAnsi" w:cstheme="majorHAnsi"/>
        </w:rPr>
        <w:t>odule d’Import/Export pour injection en masse</w:t>
      </w:r>
    </w:p>
    <w:p w:rsidR="00306CB0" w:rsidRPr="004C36B7" w:rsidRDefault="00147FD5" w:rsidP="00306CB0">
      <w:pPr>
        <w:pStyle w:val="Listenabsatz"/>
        <w:numPr>
          <w:ilvl w:val="0"/>
          <w:numId w:val="1"/>
        </w:numPr>
        <w:rPr>
          <w:rFonts w:asciiTheme="majorHAnsi" w:hAnsiTheme="majorHAnsi" w:cstheme="majorHAnsi"/>
        </w:rPr>
      </w:pPr>
      <w:r>
        <w:rPr>
          <w:rFonts w:asciiTheme="majorHAnsi" w:hAnsiTheme="majorHAnsi" w:cstheme="majorHAnsi"/>
        </w:rPr>
        <w:t>U</w:t>
      </w:r>
      <w:r w:rsidR="00306CB0">
        <w:rPr>
          <w:rFonts w:asciiTheme="majorHAnsi" w:hAnsiTheme="majorHAnsi" w:cstheme="majorHAnsi"/>
        </w:rPr>
        <w:t>n m</w:t>
      </w:r>
      <w:r w:rsidR="00306CB0" w:rsidRPr="004C36B7">
        <w:rPr>
          <w:rFonts w:asciiTheme="majorHAnsi" w:hAnsiTheme="majorHAnsi" w:cstheme="majorHAnsi"/>
        </w:rPr>
        <w:t>odule d’édition de rapports beaucoup plus puissant</w:t>
      </w:r>
    </w:p>
    <w:p w:rsidR="00306CB0" w:rsidRPr="004C36B7" w:rsidRDefault="00306CB0" w:rsidP="00306CB0">
      <w:pPr>
        <w:rPr>
          <w:rFonts w:asciiTheme="majorHAnsi" w:hAnsiTheme="majorHAnsi" w:cstheme="majorHAnsi"/>
        </w:rPr>
      </w:pPr>
      <w:r w:rsidRPr="004C36B7">
        <w:rPr>
          <w:rFonts w:asciiTheme="majorHAnsi" w:hAnsiTheme="majorHAnsi" w:cstheme="majorHAnsi"/>
        </w:rPr>
        <w:t>Et tout ceci sans oublier le confort de l’interface client qui apporte une facilité de prise en main et un réel plaisir d’utilisation.</w:t>
      </w:r>
    </w:p>
    <w:p w:rsidR="00306CB0" w:rsidRPr="004C36B7" w:rsidRDefault="00306CB0" w:rsidP="00306CB0">
      <w:pPr>
        <w:rPr>
          <w:rFonts w:asciiTheme="majorHAnsi" w:hAnsiTheme="majorHAnsi" w:cstheme="majorHAnsi"/>
        </w:rPr>
      </w:pPr>
      <w:r w:rsidRPr="004C36B7">
        <w:rPr>
          <w:rFonts w:asciiTheme="majorHAnsi" w:hAnsiTheme="majorHAnsi" w:cstheme="majorHAnsi"/>
          <w:noProof/>
        </w:rPr>
        <w:drawing>
          <wp:inline distT="0" distB="0" distL="0" distR="0" wp14:anchorId="1F53B83B" wp14:editId="69CF6D79">
            <wp:extent cx="3096810" cy="1803400"/>
            <wp:effectExtent l="0" t="0" r="889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6404" cy="1814811"/>
                    </a:xfrm>
                    <a:prstGeom prst="rect">
                      <a:avLst/>
                    </a:prstGeom>
                  </pic:spPr>
                </pic:pic>
              </a:graphicData>
            </a:graphic>
          </wp:inline>
        </w:drawing>
      </w:r>
    </w:p>
    <w:p w:rsidR="00147FD5" w:rsidRDefault="00147FD5" w:rsidP="00147FD5">
      <w:pPr>
        <w:spacing w:after="240"/>
        <w:rPr>
          <w:rFonts w:ascii="Arial" w:hAnsi="Arial" w:cs="Arial"/>
          <w:b/>
          <w:bCs/>
          <w:color w:val="ED7D31"/>
        </w:rPr>
      </w:pPr>
      <w:r>
        <w:rPr>
          <w:rFonts w:ascii="Arial" w:hAnsi="Arial" w:cs="Arial"/>
          <w:b/>
          <w:bCs/>
          <w:color w:val="ED7D31"/>
        </w:rPr>
        <w:lastRenderedPageBreak/>
        <w:t>À propos de Hoffmann Group ®</w:t>
      </w:r>
    </w:p>
    <w:p w:rsidR="00147FD5" w:rsidRDefault="00147FD5" w:rsidP="00147FD5">
      <w:pPr>
        <w:pStyle w:val="StandardWeb"/>
        <w:spacing w:beforeAutospacing="0" w:after="240" w:afterAutospacing="0" w:line="276" w:lineRule="auto"/>
        <w:ind w:right="50"/>
        <w:jc w:val="both"/>
        <w:rPr>
          <w:rFonts w:ascii="Arial" w:hAnsi="Arial" w:cs="Arial"/>
          <w:color w:val="000000"/>
        </w:rPr>
      </w:pPr>
      <w:r>
        <w:rPr>
          <w:rFonts w:ascii="Arial" w:hAnsi="Arial" w:cs="Arial"/>
          <w:color w:val="000000"/>
        </w:rPr>
        <w:t xml:space="preserve">Partenaire européen pour des outils de qualité, la société </w:t>
      </w:r>
      <w:r>
        <w:rPr>
          <w:rFonts w:ascii="Arial" w:hAnsi="Arial" w:cs="Arial"/>
          <w:color w:val="ED7D31"/>
        </w:rPr>
        <w:t>Hoffmann Group</w:t>
      </w:r>
      <w:r>
        <w:rPr>
          <w:rFonts w:ascii="Arial" w:hAnsi="Arial" w:cs="Arial"/>
          <w:color w:val="ED7D31"/>
          <w:vertAlign w:val="superscript"/>
        </w:rPr>
        <w:t>®</w:t>
      </w:r>
      <w:r>
        <w:rPr>
          <w:rFonts w:ascii="Arial" w:hAnsi="Arial" w:cs="Arial"/>
          <w:color w:val="ED7D31"/>
        </w:rPr>
        <w:t xml:space="preserve"> </w:t>
      </w:r>
      <w:r>
        <w:rPr>
          <w:rFonts w:ascii="Arial" w:hAnsi="Arial" w:cs="Arial"/>
          <w:color w:val="000000"/>
        </w:rPr>
        <w:t>conjugue les compétences de distributeur, de fabricant et de prestataire de services. Cette combinaison garantit à plus de 135 000 clients une qualité maximale, une sécurité d’approvisionnement et de productivité dans le domaine de l’Industrie. Hoffmann Group</w:t>
      </w:r>
      <w:r>
        <w:rPr>
          <w:rFonts w:ascii="Arial" w:hAnsi="Arial" w:cs="Arial"/>
          <w:color w:val="000000"/>
          <w:vertAlign w:val="superscript"/>
        </w:rPr>
        <w:t>®</w:t>
      </w:r>
      <w:r>
        <w:rPr>
          <w:rFonts w:ascii="Arial" w:hAnsi="Arial" w:cs="Arial"/>
          <w:color w:val="000000"/>
        </w:rPr>
        <w:t xml:space="preserve"> compte plus de 4 000 collaborateurs et distribue ses produits et ses services aussi bien à des entreprises cotées en bourse qu’à des PME implantées dans plus de 50 pays partout dans le monde. En 2019, plus de 1,4 milliard d’euros de chiffre d’affaires a été généré dans le monde entier. Aux côtés de sa marque premium Garant, Hoffmann Group</w:t>
      </w:r>
      <w:r>
        <w:rPr>
          <w:rFonts w:ascii="Arial" w:hAnsi="Arial" w:cs="Arial"/>
          <w:color w:val="000000"/>
          <w:vertAlign w:val="superscript"/>
        </w:rPr>
        <w:t>®</w:t>
      </w:r>
      <w:r>
        <w:rPr>
          <w:rFonts w:ascii="Arial" w:hAnsi="Arial" w:cs="Arial"/>
          <w:color w:val="000000"/>
        </w:rPr>
        <w:t xml:space="preserve"> propose 90 000 outils de qualité provenant des principaux fabricants mondiaux dans les domaines de l’usinage, des accessoires machines, de la métrologie, de l’abrasif, de l’outillage manuel, de la fourniture industrielle et des équipements d’atelier. Fort d’un service Client omniprésent assuré par plus de 1 400 conseillers et techniciens, et offrant une capacité de livraison de 99% certifiée par le </w:t>
      </w:r>
      <w:proofErr w:type="spellStart"/>
      <w:r>
        <w:rPr>
          <w:rFonts w:ascii="Arial" w:hAnsi="Arial" w:cs="Arial"/>
          <w:color w:val="000000"/>
        </w:rPr>
        <w:t>TüV</w:t>
      </w:r>
      <w:proofErr w:type="spellEnd"/>
      <w:r>
        <w:rPr>
          <w:rFonts w:ascii="Arial" w:hAnsi="Arial" w:cs="Arial"/>
          <w:color w:val="000000"/>
        </w:rPr>
        <w:t>, l’expert en outils de qualité, dont le siège est basé à Munich, assure un partenariat efficace, durable et constructif à ses Clients.</w:t>
      </w:r>
    </w:p>
    <w:p w:rsidR="00147FD5" w:rsidRDefault="00147FD5" w:rsidP="00147FD5">
      <w:pPr>
        <w:rPr>
          <w:rFonts w:ascii="Arial" w:hAnsi="Arial" w:cs="Arial"/>
        </w:rPr>
      </w:pPr>
      <w:r>
        <w:rPr>
          <w:rFonts w:ascii="Arial" w:hAnsi="Arial" w:cs="Arial"/>
          <w:b/>
          <w:bCs/>
        </w:rPr>
        <w:t>Pour plus d’informations, visitez le site</w:t>
      </w:r>
      <w:r>
        <w:rPr>
          <w:rFonts w:ascii="Arial" w:hAnsi="Arial" w:cs="Arial"/>
          <w:b/>
          <w:bCs/>
          <w:color w:val="ED7D31"/>
        </w:rPr>
        <w:t xml:space="preserve"> </w:t>
      </w:r>
      <w:hyperlink r:id="rId13" w:history="1">
        <w:r>
          <w:rPr>
            <w:rStyle w:val="Hyperlink"/>
            <w:rFonts w:cs="Arial"/>
            <w:b/>
            <w:bCs/>
            <w:color w:val="ED7D31"/>
          </w:rPr>
          <w:t>www.hoffmann-group.com</w:t>
        </w:r>
      </w:hyperlink>
    </w:p>
    <w:p w:rsidR="00147FD5" w:rsidRDefault="00147FD5" w:rsidP="00147FD5">
      <w:pPr>
        <w:suppressAutoHyphens/>
        <w:rPr>
          <w:rFonts w:ascii="Arial" w:hAnsi="Arial" w:cs="Arial"/>
          <w:b/>
        </w:rPr>
      </w:pPr>
    </w:p>
    <w:p w:rsidR="00147FD5" w:rsidRDefault="00147FD5" w:rsidP="00147FD5">
      <w:pPr>
        <w:tabs>
          <w:tab w:val="left" w:pos="6237"/>
        </w:tabs>
        <w:jc w:val="both"/>
        <w:rPr>
          <w:rFonts w:ascii="Arial" w:hAnsi="Arial" w:cs="Arial"/>
          <w:b/>
        </w:rPr>
      </w:pPr>
      <w:r>
        <w:rPr>
          <w:rFonts w:ascii="Arial" w:hAnsi="Arial" w:cs="Arial"/>
          <w:b/>
        </w:rPr>
        <w:t>Contact presse</w:t>
      </w:r>
    </w:p>
    <w:p w:rsidR="00147FD5" w:rsidRDefault="00147FD5" w:rsidP="00147FD5">
      <w:pPr>
        <w:tabs>
          <w:tab w:val="left" w:pos="6237"/>
        </w:tabs>
        <w:jc w:val="both"/>
        <w:rPr>
          <w:rFonts w:ascii="Arial" w:hAnsi="Arial" w:cs="Arial"/>
          <w:b/>
        </w:rPr>
      </w:pPr>
      <w:r>
        <w:rPr>
          <w:rFonts w:ascii="Arial" w:hAnsi="Arial" w:cs="Arial"/>
          <w:b/>
        </w:rPr>
        <w:t>Hoffmann France SAS</w:t>
      </w:r>
    </w:p>
    <w:p w:rsidR="00147FD5" w:rsidRDefault="00147FD5" w:rsidP="00147FD5">
      <w:pPr>
        <w:tabs>
          <w:tab w:val="left" w:pos="6237"/>
        </w:tabs>
        <w:jc w:val="both"/>
        <w:rPr>
          <w:rFonts w:ascii="Arial" w:hAnsi="Arial" w:cs="Arial"/>
        </w:rPr>
      </w:pPr>
      <w:r>
        <w:rPr>
          <w:rFonts w:ascii="Arial" w:hAnsi="Arial" w:cs="Arial"/>
        </w:rPr>
        <w:t>1 rue Gay Lussac</w:t>
      </w:r>
    </w:p>
    <w:p w:rsidR="00147FD5" w:rsidRDefault="00147FD5" w:rsidP="00147FD5">
      <w:pPr>
        <w:tabs>
          <w:tab w:val="left" w:pos="6237"/>
        </w:tabs>
        <w:jc w:val="both"/>
        <w:rPr>
          <w:rFonts w:ascii="Arial" w:hAnsi="Arial" w:cs="Arial"/>
          <w:lang w:val="en-US"/>
        </w:rPr>
      </w:pPr>
      <w:r>
        <w:rPr>
          <w:rFonts w:ascii="Arial" w:hAnsi="Arial" w:cs="Arial"/>
          <w:lang w:val="en-US"/>
        </w:rPr>
        <w:t>F+67410 DRUSENHEIM</w:t>
      </w:r>
    </w:p>
    <w:p w:rsidR="00147FD5" w:rsidRDefault="003D2EB1" w:rsidP="00147FD5">
      <w:pPr>
        <w:tabs>
          <w:tab w:val="left" w:pos="284"/>
          <w:tab w:val="left" w:pos="426"/>
          <w:tab w:val="left" w:pos="6237"/>
        </w:tabs>
        <w:jc w:val="both"/>
        <w:rPr>
          <w:rFonts w:ascii="Arial" w:hAnsi="Arial" w:cs="Arial"/>
          <w:color w:val="FF6600"/>
          <w:lang w:val="en-US"/>
        </w:rPr>
      </w:pPr>
      <w:hyperlink r:id="rId14" w:history="1">
        <w:r w:rsidR="00147FD5">
          <w:rPr>
            <w:rStyle w:val="Hyperlink"/>
            <w:rFonts w:cs="Arial"/>
            <w:color w:val="FF6600"/>
            <w:lang w:val="en-US"/>
          </w:rPr>
          <w:t>www.hoffmann-group.com</w:t>
        </w:r>
      </w:hyperlink>
    </w:p>
    <w:p w:rsidR="00147FD5" w:rsidRDefault="00147FD5" w:rsidP="00147FD5">
      <w:pPr>
        <w:jc w:val="both"/>
        <w:rPr>
          <w:rFonts w:ascii="Arial" w:hAnsi="Arial" w:cs="Arial"/>
          <w:lang w:val="en-US"/>
        </w:rPr>
      </w:pPr>
    </w:p>
    <w:p w:rsidR="00147FD5" w:rsidRDefault="00147FD5" w:rsidP="00147FD5">
      <w:pPr>
        <w:jc w:val="both"/>
        <w:rPr>
          <w:rFonts w:ascii="Arial" w:hAnsi="Arial" w:cs="Arial"/>
          <w:lang w:val="de-DE"/>
        </w:rPr>
      </w:pPr>
      <w:r>
        <w:rPr>
          <w:rFonts w:ascii="Arial" w:hAnsi="Arial" w:cs="Arial"/>
          <w:lang w:val="de-DE"/>
        </w:rPr>
        <w:t>Eric SCHEEG</w:t>
      </w:r>
    </w:p>
    <w:p w:rsidR="00147FD5" w:rsidRPr="00741A83" w:rsidRDefault="00147FD5" w:rsidP="00147FD5">
      <w:pPr>
        <w:jc w:val="both"/>
        <w:rPr>
          <w:rFonts w:ascii="Arial" w:hAnsi="Arial" w:cs="Arial"/>
        </w:rPr>
      </w:pPr>
      <w:r w:rsidRPr="00741A83">
        <w:rPr>
          <w:rFonts w:ascii="Arial" w:hAnsi="Arial" w:cs="Arial"/>
        </w:rPr>
        <w:t>Tél. : +</w:t>
      </w:r>
      <w:r w:rsidRPr="00741A83">
        <w:rPr>
          <w:rStyle w:val="baec5a81-e4d6-4674-97f3-e9220f0136c1"/>
          <w:rFonts w:ascii="Arial" w:hAnsi="Arial" w:cs="Arial"/>
          <w:color w:val="000000"/>
        </w:rPr>
        <w:t xml:space="preserve">33 (0)3 90 55 12 73 </w:t>
      </w:r>
    </w:p>
    <w:p w:rsidR="00147FD5" w:rsidRPr="00741A83" w:rsidRDefault="00147FD5" w:rsidP="00147FD5">
      <w:pPr>
        <w:tabs>
          <w:tab w:val="left" w:pos="284"/>
          <w:tab w:val="left" w:pos="426"/>
          <w:tab w:val="left" w:pos="6237"/>
        </w:tabs>
        <w:jc w:val="both"/>
        <w:rPr>
          <w:rFonts w:ascii="Arial" w:hAnsi="Arial" w:cs="Arial"/>
          <w:b/>
          <w:bCs/>
        </w:rPr>
      </w:pPr>
      <w:r w:rsidRPr="00741A83">
        <w:rPr>
          <w:rFonts w:ascii="Arial" w:hAnsi="Arial" w:cs="Arial"/>
        </w:rPr>
        <w:t xml:space="preserve">E-mail : </w:t>
      </w:r>
      <w:hyperlink r:id="rId15" w:history="1">
        <w:r w:rsidRPr="00741A83">
          <w:rPr>
            <w:rStyle w:val="Hyperlink"/>
            <w:rFonts w:cs="Arial"/>
          </w:rPr>
          <w:t>e.scheeg@hoffmann-group.com</w:t>
        </w:r>
      </w:hyperlink>
    </w:p>
    <w:p w:rsidR="00147FD5" w:rsidRPr="00741A83" w:rsidRDefault="00147FD5" w:rsidP="00147FD5"/>
    <w:p w:rsidR="00306CB0" w:rsidRPr="00741A83" w:rsidRDefault="00306CB0" w:rsidP="00306CB0">
      <w:pPr>
        <w:spacing w:after="240"/>
        <w:rPr>
          <w:rFonts w:ascii="Arial" w:hAnsi="Arial" w:cs="Arial"/>
          <w:b/>
          <w:bCs/>
          <w:color w:val="ED7D31"/>
        </w:rPr>
      </w:pPr>
    </w:p>
    <w:sectPr w:rsidR="00306CB0" w:rsidRPr="00741A8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EB1" w:rsidRDefault="003D2EB1" w:rsidP="003D2EB1">
      <w:pPr>
        <w:spacing w:after="0" w:line="240" w:lineRule="auto"/>
      </w:pPr>
      <w:r>
        <w:separator/>
      </w:r>
    </w:p>
  </w:endnote>
  <w:endnote w:type="continuationSeparator" w:id="0">
    <w:p w:rsidR="003D2EB1" w:rsidRDefault="003D2EB1" w:rsidP="003D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EB1" w:rsidRDefault="003D2EB1" w:rsidP="003D2EB1">
      <w:pPr>
        <w:spacing w:after="0" w:line="240" w:lineRule="auto"/>
      </w:pPr>
      <w:r>
        <w:separator/>
      </w:r>
    </w:p>
  </w:footnote>
  <w:footnote w:type="continuationSeparator" w:id="0">
    <w:p w:rsidR="003D2EB1" w:rsidRDefault="003D2EB1" w:rsidP="003D2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EB1" w:rsidRDefault="003D2EB1" w:rsidP="003D2EB1">
    <w:pPr>
      <w:pStyle w:val="Kopfzeile"/>
      <w:jc w:val="right"/>
    </w:pPr>
    <w:r>
      <w:rPr>
        <w:noProof/>
      </w:rPr>
      <w:drawing>
        <wp:inline distT="0" distB="0" distL="0" distR="0">
          <wp:extent cx="2581275" cy="7715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1253C"/>
    <w:multiLevelType w:val="hybridMultilevel"/>
    <w:tmpl w:val="9684D2B6"/>
    <w:lvl w:ilvl="0" w:tplc="DA7C84C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CB0"/>
    <w:rsid w:val="00001C90"/>
    <w:rsid w:val="00020F75"/>
    <w:rsid w:val="00026FA8"/>
    <w:rsid w:val="0004156A"/>
    <w:rsid w:val="0004355F"/>
    <w:rsid w:val="0004403A"/>
    <w:rsid w:val="0005713F"/>
    <w:rsid w:val="00063CE9"/>
    <w:rsid w:val="00083085"/>
    <w:rsid w:val="000A6D1F"/>
    <w:rsid w:val="000E23ED"/>
    <w:rsid w:val="000F0AEF"/>
    <w:rsid w:val="0011530B"/>
    <w:rsid w:val="00136AF3"/>
    <w:rsid w:val="00147FD5"/>
    <w:rsid w:val="00170C66"/>
    <w:rsid w:val="00181B3E"/>
    <w:rsid w:val="00193DFC"/>
    <w:rsid w:val="001A2C0A"/>
    <w:rsid w:val="0020232E"/>
    <w:rsid w:val="00204808"/>
    <w:rsid w:val="002104CA"/>
    <w:rsid w:val="002722D3"/>
    <w:rsid w:val="00283B69"/>
    <w:rsid w:val="00295587"/>
    <w:rsid w:val="00295F93"/>
    <w:rsid w:val="002A6C04"/>
    <w:rsid w:val="002B2988"/>
    <w:rsid w:val="002B3657"/>
    <w:rsid w:val="002F457F"/>
    <w:rsid w:val="00306CB0"/>
    <w:rsid w:val="003135FF"/>
    <w:rsid w:val="003266CC"/>
    <w:rsid w:val="00330C30"/>
    <w:rsid w:val="00362E17"/>
    <w:rsid w:val="00373C08"/>
    <w:rsid w:val="003819CF"/>
    <w:rsid w:val="00384F08"/>
    <w:rsid w:val="00387DE4"/>
    <w:rsid w:val="003B2B1C"/>
    <w:rsid w:val="003B3B57"/>
    <w:rsid w:val="003C1C93"/>
    <w:rsid w:val="003D0D96"/>
    <w:rsid w:val="003D2EB1"/>
    <w:rsid w:val="003D7DBA"/>
    <w:rsid w:val="003F6FFC"/>
    <w:rsid w:val="003F7328"/>
    <w:rsid w:val="00436B30"/>
    <w:rsid w:val="00492286"/>
    <w:rsid w:val="004A15A8"/>
    <w:rsid w:val="004B38B3"/>
    <w:rsid w:val="004C41EA"/>
    <w:rsid w:val="004E4057"/>
    <w:rsid w:val="004E6FC9"/>
    <w:rsid w:val="005119B2"/>
    <w:rsid w:val="00526364"/>
    <w:rsid w:val="00527D67"/>
    <w:rsid w:val="005459FA"/>
    <w:rsid w:val="00591B77"/>
    <w:rsid w:val="005E6FE6"/>
    <w:rsid w:val="00617023"/>
    <w:rsid w:val="0062777B"/>
    <w:rsid w:val="00652639"/>
    <w:rsid w:val="006C6D89"/>
    <w:rsid w:val="006C6EB0"/>
    <w:rsid w:val="007170B7"/>
    <w:rsid w:val="00741A83"/>
    <w:rsid w:val="00746086"/>
    <w:rsid w:val="00764D5E"/>
    <w:rsid w:val="00765D4C"/>
    <w:rsid w:val="00770335"/>
    <w:rsid w:val="00787C73"/>
    <w:rsid w:val="00796497"/>
    <w:rsid w:val="007E0B58"/>
    <w:rsid w:val="0080738A"/>
    <w:rsid w:val="00864997"/>
    <w:rsid w:val="00875222"/>
    <w:rsid w:val="008D3AA2"/>
    <w:rsid w:val="008E31C6"/>
    <w:rsid w:val="008F0B08"/>
    <w:rsid w:val="008F508F"/>
    <w:rsid w:val="009A419F"/>
    <w:rsid w:val="009D3D3E"/>
    <w:rsid w:val="00A5722C"/>
    <w:rsid w:val="00A91101"/>
    <w:rsid w:val="00A96513"/>
    <w:rsid w:val="00AB7291"/>
    <w:rsid w:val="00AF0D50"/>
    <w:rsid w:val="00B2478C"/>
    <w:rsid w:val="00B25AA5"/>
    <w:rsid w:val="00B27F95"/>
    <w:rsid w:val="00B45D24"/>
    <w:rsid w:val="00B659D2"/>
    <w:rsid w:val="00B7263C"/>
    <w:rsid w:val="00B90F7F"/>
    <w:rsid w:val="00B92E78"/>
    <w:rsid w:val="00B938E5"/>
    <w:rsid w:val="00BD3ABD"/>
    <w:rsid w:val="00BD65A1"/>
    <w:rsid w:val="00BD7BE4"/>
    <w:rsid w:val="00C230B0"/>
    <w:rsid w:val="00C66A96"/>
    <w:rsid w:val="00C91C40"/>
    <w:rsid w:val="00CB6789"/>
    <w:rsid w:val="00D05D49"/>
    <w:rsid w:val="00D148A2"/>
    <w:rsid w:val="00D32726"/>
    <w:rsid w:val="00D6212C"/>
    <w:rsid w:val="00D6271A"/>
    <w:rsid w:val="00D71366"/>
    <w:rsid w:val="00DA3B4D"/>
    <w:rsid w:val="00DB79C3"/>
    <w:rsid w:val="00E02DA7"/>
    <w:rsid w:val="00E129F7"/>
    <w:rsid w:val="00E141E6"/>
    <w:rsid w:val="00E41731"/>
    <w:rsid w:val="00E45BC6"/>
    <w:rsid w:val="00E46836"/>
    <w:rsid w:val="00E75B11"/>
    <w:rsid w:val="00E83EF2"/>
    <w:rsid w:val="00E915E1"/>
    <w:rsid w:val="00EA3F90"/>
    <w:rsid w:val="00EC756A"/>
    <w:rsid w:val="00F050A6"/>
    <w:rsid w:val="00F420B1"/>
    <w:rsid w:val="00F442B2"/>
    <w:rsid w:val="00F44C41"/>
    <w:rsid w:val="00F908CE"/>
    <w:rsid w:val="00F90F36"/>
    <w:rsid w:val="00FB2195"/>
    <w:rsid w:val="00FC45F6"/>
    <w:rsid w:val="00FD2771"/>
    <w:rsid w:val="00FE2B9B"/>
    <w:rsid w:val="00FE4C07"/>
    <w:rsid w:val="00FF0F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D8A726-665E-42FD-A0DE-98523185F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6CB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06CB0"/>
    <w:pPr>
      <w:ind w:left="720"/>
      <w:contextualSpacing/>
    </w:pPr>
  </w:style>
  <w:style w:type="character" w:styleId="Hyperlink">
    <w:name w:val="Hyperlink"/>
    <w:basedOn w:val="Absatz-Standardschriftart"/>
    <w:uiPriority w:val="99"/>
    <w:semiHidden/>
    <w:unhideWhenUsed/>
    <w:rsid w:val="00306CB0"/>
    <w:rPr>
      <w:color w:val="0563C1"/>
      <w:u w:val="single"/>
    </w:rPr>
  </w:style>
  <w:style w:type="paragraph" w:styleId="StandardWeb">
    <w:name w:val="Normal (Web)"/>
    <w:basedOn w:val="Standard"/>
    <w:uiPriority w:val="99"/>
    <w:semiHidden/>
    <w:unhideWhenUsed/>
    <w:rsid w:val="00306CB0"/>
    <w:pPr>
      <w:spacing w:before="100" w:beforeAutospacing="1" w:after="100" w:afterAutospacing="1" w:line="240" w:lineRule="auto"/>
    </w:pPr>
    <w:rPr>
      <w:rFonts w:ascii="Calibri" w:hAnsi="Calibri" w:cs="Calibri"/>
      <w:lang w:eastAsia="fr-FR"/>
    </w:rPr>
  </w:style>
  <w:style w:type="character" w:customStyle="1" w:styleId="baec5a81-e4d6-4674-97f3-e9220f0136c1">
    <w:name w:val="baec5a81-e4d6-4674-97f3-e9220f0136c1"/>
    <w:basedOn w:val="Absatz-Standardschriftart"/>
    <w:rsid w:val="00306CB0"/>
  </w:style>
  <w:style w:type="paragraph" w:styleId="Sprechblasentext">
    <w:name w:val="Balloon Text"/>
    <w:basedOn w:val="Standard"/>
    <w:link w:val="SprechblasentextZchn"/>
    <w:uiPriority w:val="99"/>
    <w:semiHidden/>
    <w:unhideWhenUsed/>
    <w:rsid w:val="00306CB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6CB0"/>
    <w:rPr>
      <w:rFonts w:ascii="Segoe UI" w:hAnsi="Segoe UI" w:cs="Segoe UI"/>
      <w:sz w:val="18"/>
      <w:szCs w:val="18"/>
    </w:rPr>
  </w:style>
  <w:style w:type="paragraph" w:styleId="Kopfzeile">
    <w:name w:val="header"/>
    <w:basedOn w:val="Standard"/>
    <w:link w:val="KopfzeileZchn"/>
    <w:uiPriority w:val="99"/>
    <w:unhideWhenUsed/>
    <w:rsid w:val="003D2E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EB1"/>
  </w:style>
  <w:style w:type="paragraph" w:styleId="Fuzeile">
    <w:name w:val="footer"/>
    <w:basedOn w:val="Standard"/>
    <w:link w:val="FuzeileZchn"/>
    <w:uiPriority w:val="99"/>
    <w:unhideWhenUsed/>
    <w:rsid w:val="003D2E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2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offmann-group.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e.scheeg@hoffmann-group.com"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offmann-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C2D61235CF84C90E40414D00A90B0" ma:contentTypeVersion="6" ma:contentTypeDescription="Crée un document." ma:contentTypeScope="" ma:versionID="3e5df1f14be0566c6363b7fbdcaaba8e">
  <xsd:schema xmlns:xsd="http://www.w3.org/2001/XMLSchema" xmlns:xs="http://www.w3.org/2001/XMLSchema" xmlns:p="http://schemas.microsoft.com/office/2006/metadata/properties" xmlns:ns2="b550beb1-c892-4579-85e1-1b1d39443a62" targetNamespace="http://schemas.microsoft.com/office/2006/metadata/properties" ma:root="true" ma:fieldsID="100cd319091fbb98b117328370574fd5" ns2:_="">
    <xsd:import namespace="b550beb1-c892-4579-85e1-1b1d39443a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0beb1-c892-4579-85e1-1b1d39443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36C658-11D8-4E3F-B5B5-440ADA5D4C10}">
  <ds:schemaRefs>
    <ds:schemaRef ds:uri="http://schemas.microsoft.com/sharepoint/v3/contenttype/forms"/>
  </ds:schemaRefs>
</ds:datastoreItem>
</file>

<file path=customXml/itemProps2.xml><?xml version="1.0" encoding="utf-8"?>
<ds:datastoreItem xmlns:ds="http://schemas.openxmlformats.org/officeDocument/2006/customXml" ds:itemID="{DD219D8E-1054-41CC-83BD-8C1D25475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50beb1-c892-4579-85e1-1b1d39443a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5C6E7B-AC8F-42C9-953D-63338950D8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3815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Scheeg Eric</dc:creator>
  <cp:keywords/>
  <dc:description/>
  <cp:lastModifiedBy>Szabó, Malika</cp:lastModifiedBy>
  <cp:revision>4</cp:revision>
  <dcterms:created xsi:type="dcterms:W3CDTF">2020-05-18T12:45:00Z</dcterms:created>
  <dcterms:modified xsi:type="dcterms:W3CDTF">2020-09-22T14:00:00Z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0x010100385C2D61235CF84C90E40414D00A90B0</vt:lpwstr>
  </property>
</Properties>
</file>