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6400B" w14:textId="16D8B33F" w:rsidR="00B81801" w:rsidRPr="00312C7C" w:rsidRDefault="00B81801" w:rsidP="00B81801">
      <w:pPr>
        <w:suppressAutoHyphens/>
        <w:spacing w:before="240" w:line="360" w:lineRule="auto"/>
        <w:ind w:right="850"/>
        <w:outlineLvl w:val="0"/>
        <w:rPr>
          <w:rFonts w:ascii="Arial" w:hAnsi="Arial" w:cs="Arial"/>
          <w:b/>
          <w:sz w:val="22"/>
          <w:szCs w:val="22"/>
        </w:rPr>
      </w:pPr>
      <w:r w:rsidRPr="00312C7C">
        <w:rPr>
          <w:rFonts w:ascii="Arial" w:hAnsi="Arial"/>
          <w:b/>
          <w:sz w:val="22"/>
          <w:szCs w:val="22"/>
        </w:rPr>
        <w:t>Communiqué de presse</w:t>
      </w:r>
      <w:r w:rsidRPr="00312C7C">
        <w:rPr>
          <w:rFonts w:ascii="Arial" w:hAnsi="Arial"/>
          <w:b/>
          <w:sz w:val="22"/>
          <w:szCs w:val="22"/>
        </w:rPr>
        <w:br/>
      </w:r>
    </w:p>
    <w:p w14:paraId="36C3ACE1" w14:textId="411666DD" w:rsidR="00B81801" w:rsidRPr="00312C7C" w:rsidRDefault="00B81801" w:rsidP="00B81801">
      <w:pPr>
        <w:suppressAutoHyphens/>
        <w:spacing w:after="240" w:line="360" w:lineRule="auto"/>
        <w:rPr>
          <w:rFonts w:ascii="Arial" w:hAnsi="Arial" w:cs="Arial"/>
          <w:b/>
          <w:sz w:val="28"/>
          <w:szCs w:val="28"/>
        </w:rPr>
      </w:pPr>
      <w:proofErr w:type="spellStart"/>
      <w:r w:rsidRPr="00312C7C">
        <w:rPr>
          <w:rFonts w:ascii="Arial" w:hAnsi="Arial"/>
          <w:b/>
          <w:sz w:val="28"/>
          <w:szCs w:val="28"/>
        </w:rPr>
        <w:t>Click&amp;Clamp</w:t>
      </w:r>
      <w:proofErr w:type="spellEnd"/>
      <w:r w:rsidRPr="00312C7C">
        <w:rPr>
          <w:rFonts w:ascii="Arial" w:hAnsi="Arial"/>
          <w:b/>
          <w:sz w:val="28"/>
          <w:szCs w:val="28"/>
        </w:rPr>
        <w:t xml:space="preserve"> avec double serrage </w:t>
      </w:r>
    </w:p>
    <w:p w14:paraId="0BCC0723" w14:textId="72B58E48" w:rsidR="00B81801" w:rsidRPr="00312C7C" w:rsidRDefault="00B81801" w:rsidP="00B81801">
      <w:pPr>
        <w:spacing w:after="240" w:line="360" w:lineRule="auto"/>
        <w:ind w:right="-142"/>
        <w:rPr>
          <w:rFonts w:ascii="Arial" w:hAnsi="Arial" w:cs="Arial"/>
          <w:b/>
        </w:rPr>
      </w:pPr>
      <w:bookmarkStart w:id="0" w:name="_GoBack"/>
      <w:r w:rsidRPr="00312C7C">
        <w:rPr>
          <w:rFonts w:ascii="Arial" w:hAnsi="Arial"/>
          <w:b/>
        </w:rPr>
        <w:t>L’étau autocentrant GARANT </w:t>
      </w:r>
      <w:proofErr w:type="spellStart"/>
      <w:r w:rsidRPr="00312C7C">
        <w:rPr>
          <w:rFonts w:ascii="Arial" w:hAnsi="Arial"/>
          <w:b/>
        </w:rPr>
        <w:t>Xtric</w:t>
      </w:r>
      <w:proofErr w:type="spellEnd"/>
      <w:r w:rsidRPr="00312C7C">
        <w:rPr>
          <w:rFonts w:ascii="Arial" w:hAnsi="Arial"/>
          <w:b/>
        </w:rPr>
        <w:t xml:space="preserve"> se voit doter d’un mors intermédiaire, d’alésages de préhension et d’une interface d’automatisation </w:t>
      </w:r>
      <w:proofErr w:type="spellStart"/>
      <w:r w:rsidRPr="00312C7C">
        <w:rPr>
          <w:rFonts w:ascii="Arial" w:hAnsi="Arial"/>
          <w:b/>
        </w:rPr>
        <w:t>endutec</w:t>
      </w:r>
      <w:proofErr w:type="spellEnd"/>
      <w:r w:rsidRPr="00312C7C">
        <w:rPr>
          <w:rFonts w:ascii="Arial" w:hAnsi="Arial"/>
          <w:b/>
        </w:rPr>
        <w:t xml:space="preserve"> </w:t>
      </w:r>
    </w:p>
    <w:bookmarkEnd w:id="0"/>
    <w:p w14:paraId="2D3A8390" w14:textId="77777777" w:rsidR="00B81801" w:rsidRPr="00312C7C" w:rsidRDefault="00B81801" w:rsidP="00B81801">
      <w:pPr>
        <w:spacing w:line="360" w:lineRule="auto"/>
        <w:rPr>
          <w:rFonts w:ascii="Arial" w:hAnsi="Arial" w:cs="Arial"/>
          <w:b/>
          <w:sz w:val="22"/>
          <w:szCs w:val="22"/>
        </w:rPr>
      </w:pPr>
    </w:p>
    <w:p w14:paraId="2C14B452" w14:textId="44E2D2CB" w:rsidR="00E15C0A" w:rsidRPr="00312C7C" w:rsidRDefault="00D714B0" w:rsidP="00D714B0">
      <w:pPr>
        <w:spacing w:line="360" w:lineRule="auto"/>
        <w:jc w:val="both"/>
        <w:rPr>
          <w:rFonts w:ascii="Arial" w:eastAsiaTheme="minorEastAsia" w:hAnsi="Arial" w:cs="Arial"/>
          <w:b/>
          <w:color w:val="262626"/>
          <w:sz w:val="22"/>
          <w:szCs w:val="22"/>
        </w:rPr>
      </w:pPr>
      <w:r w:rsidRPr="00103F44">
        <w:rPr>
          <w:rFonts w:ascii="Arial" w:hAnsi="Arial"/>
          <w:b/>
          <w:color w:val="262626"/>
          <w:sz w:val="22"/>
          <w:szCs w:val="22"/>
        </w:rPr>
        <w:t>Strasbourg</w:t>
      </w:r>
      <w:r w:rsidR="00B81801" w:rsidRPr="00103F44">
        <w:rPr>
          <w:rFonts w:ascii="Arial" w:hAnsi="Arial"/>
          <w:b/>
          <w:color w:val="262626"/>
          <w:sz w:val="22"/>
          <w:szCs w:val="22"/>
        </w:rPr>
        <w:t xml:space="preserve">, le </w:t>
      </w:r>
      <w:r w:rsidR="00103F44" w:rsidRPr="00103F44">
        <w:rPr>
          <w:rFonts w:ascii="Arial" w:hAnsi="Arial"/>
          <w:b/>
          <w:color w:val="262626"/>
          <w:sz w:val="22"/>
          <w:szCs w:val="22"/>
        </w:rPr>
        <w:t>31</w:t>
      </w:r>
      <w:r w:rsidR="00B81801" w:rsidRPr="00103F44">
        <w:rPr>
          <w:rFonts w:ascii="Arial" w:hAnsi="Arial"/>
          <w:b/>
          <w:color w:val="262626"/>
          <w:sz w:val="22"/>
          <w:szCs w:val="22"/>
        </w:rPr>
        <w:t> </w:t>
      </w:r>
      <w:r w:rsidRPr="00103F44">
        <w:rPr>
          <w:rFonts w:ascii="Arial" w:hAnsi="Arial"/>
          <w:b/>
          <w:color w:val="262626"/>
          <w:sz w:val="22"/>
          <w:szCs w:val="22"/>
        </w:rPr>
        <w:t>mars</w:t>
      </w:r>
      <w:r w:rsidR="00B81801" w:rsidRPr="00103F44">
        <w:rPr>
          <w:rFonts w:ascii="Arial" w:hAnsi="Arial"/>
          <w:b/>
          <w:color w:val="262626"/>
          <w:sz w:val="22"/>
          <w:szCs w:val="22"/>
        </w:rPr>
        <w:t xml:space="preserve"> 2020 – L’année dernière, </w:t>
      </w:r>
      <w:hyperlink r:id="rId10" w:history="1">
        <w:r w:rsidR="00B81801" w:rsidRPr="00103F44">
          <w:rPr>
            <w:rStyle w:val="Hyperlink"/>
            <w:rFonts w:ascii="Arial" w:hAnsi="Arial"/>
            <w:b/>
            <w:color w:val="FF6600"/>
            <w:sz w:val="22"/>
            <w:szCs w:val="22"/>
          </w:rPr>
          <w:t>Hoffmann Group</w:t>
        </w:r>
      </w:hyperlink>
      <w:r w:rsidR="00B81801" w:rsidRPr="00103F44">
        <w:rPr>
          <w:rFonts w:ascii="Arial" w:hAnsi="Arial"/>
          <w:b/>
          <w:color w:val="262626"/>
          <w:sz w:val="22"/>
          <w:szCs w:val="22"/>
        </w:rPr>
        <w:t xml:space="preserve"> a présenté</w:t>
      </w:r>
      <w:r w:rsidR="00B81801" w:rsidRPr="00312C7C">
        <w:rPr>
          <w:rFonts w:ascii="Arial" w:hAnsi="Arial"/>
          <w:b/>
          <w:color w:val="262626"/>
          <w:sz w:val="22"/>
          <w:szCs w:val="22"/>
        </w:rPr>
        <w:t xml:space="preserve"> son étau autocentrant GARANT </w:t>
      </w:r>
      <w:proofErr w:type="spellStart"/>
      <w:r w:rsidR="00B81801" w:rsidRPr="00312C7C">
        <w:rPr>
          <w:rFonts w:ascii="Arial" w:hAnsi="Arial"/>
          <w:b/>
          <w:color w:val="262626"/>
          <w:sz w:val="22"/>
          <w:szCs w:val="22"/>
        </w:rPr>
        <w:t>Xtric</w:t>
      </w:r>
      <w:proofErr w:type="spellEnd"/>
      <w:r w:rsidR="00B81801" w:rsidRPr="00312C7C">
        <w:rPr>
          <w:rFonts w:ascii="Arial" w:hAnsi="Arial"/>
          <w:b/>
          <w:color w:val="262626"/>
          <w:sz w:val="22"/>
          <w:szCs w:val="22"/>
        </w:rPr>
        <w:t xml:space="preserve"> avec système de changement rapide des mors suivant le principe « </w:t>
      </w:r>
      <w:proofErr w:type="spellStart"/>
      <w:r w:rsidR="00B81801" w:rsidRPr="00312C7C">
        <w:rPr>
          <w:rFonts w:ascii="Arial" w:hAnsi="Arial"/>
          <w:b/>
          <w:color w:val="262626"/>
          <w:sz w:val="22"/>
          <w:szCs w:val="22"/>
        </w:rPr>
        <w:t>Click&amp;Clamp</w:t>
      </w:r>
      <w:proofErr w:type="spellEnd"/>
      <w:r w:rsidR="00B81801" w:rsidRPr="00312C7C">
        <w:rPr>
          <w:rFonts w:ascii="Arial" w:hAnsi="Arial"/>
          <w:b/>
          <w:color w:val="262626"/>
          <w:sz w:val="22"/>
          <w:szCs w:val="22"/>
        </w:rPr>
        <w:t> ». D</w:t>
      </w:r>
      <w:r>
        <w:rPr>
          <w:rFonts w:ascii="Arial" w:hAnsi="Arial"/>
          <w:b/>
          <w:color w:val="262626"/>
          <w:sz w:val="22"/>
          <w:szCs w:val="22"/>
        </w:rPr>
        <w:t>epuis</w:t>
      </w:r>
      <w:r w:rsidR="00B81801" w:rsidRPr="00312C7C">
        <w:rPr>
          <w:rFonts w:ascii="Arial" w:hAnsi="Arial"/>
          <w:b/>
          <w:color w:val="262626"/>
          <w:sz w:val="22"/>
          <w:szCs w:val="22"/>
        </w:rPr>
        <w:t xml:space="preserve"> le mois d’avril 2020, ce petit concentré de puissance, qui applique une force de serrage pouvant atteindre 25 kN directement sur la pièce et produit un faible soulèvement des mors et de la pièce, </w:t>
      </w:r>
      <w:r>
        <w:rPr>
          <w:rFonts w:ascii="Arial" w:hAnsi="Arial"/>
          <w:b/>
          <w:color w:val="262626"/>
          <w:sz w:val="22"/>
          <w:szCs w:val="22"/>
        </w:rPr>
        <w:t>est</w:t>
      </w:r>
      <w:r w:rsidR="00B81801" w:rsidRPr="00312C7C">
        <w:rPr>
          <w:rFonts w:ascii="Arial" w:hAnsi="Arial"/>
          <w:b/>
          <w:color w:val="262626"/>
          <w:sz w:val="22"/>
          <w:szCs w:val="22"/>
        </w:rPr>
        <w:t xml:space="preserve"> également disponible avec un mors intermédiaire. Avantage : cet étau permet désormais de serrer simultanément deux pièces finies ou brutes sans pré-marquage. Les opérations de montage/démontage sont donc deux fois plus rapides. En outre, les nouveaux alésages de préhension et l’interface d’automatisation </w:t>
      </w:r>
      <w:proofErr w:type="spellStart"/>
      <w:r w:rsidR="00B81801" w:rsidRPr="00312C7C">
        <w:rPr>
          <w:rFonts w:ascii="Arial" w:hAnsi="Arial"/>
          <w:b/>
          <w:color w:val="262626"/>
          <w:sz w:val="22"/>
          <w:szCs w:val="22"/>
        </w:rPr>
        <w:t>endutec</w:t>
      </w:r>
      <w:proofErr w:type="spellEnd"/>
      <w:r w:rsidR="00B81801" w:rsidRPr="00312C7C">
        <w:rPr>
          <w:rFonts w:ascii="Arial" w:hAnsi="Arial"/>
          <w:b/>
          <w:color w:val="262626"/>
          <w:sz w:val="22"/>
          <w:szCs w:val="22"/>
        </w:rPr>
        <w:t xml:space="preserve"> permettent d’utiliser l’étau dans un environnement automatisé. </w:t>
      </w:r>
    </w:p>
    <w:p w14:paraId="5BAD0A8D" w14:textId="77777777" w:rsidR="00E15C0A" w:rsidRPr="00312C7C" w:rsidRDefault="00E15C0A" w:rsidP="00B81801">
      <w:pPr>
        <w:spacing w:line="360" w:lineRule="auto"/>
        <w:rPr>
          <w:rFonts w:ascii="Arial" w:eastAsiaTheme="minorEastAsia" w:hAnsi="Arial" w:cs="Arial"/>
          <w:b/>
          <w:color w:val="262626"/>
          <w:sz w:val="22"/>
          <w:szCs w:val="22"/>
        </w:rPr>
      </w:pPr>
    </w:p>
    <w:p w14:paraId="0970CA18" w14:textId="1EDFC04D" w:rsidR="00ED45AB" w:rsidRPr="00312C7C" w:rsidRDefault="00DC3CF4" w:rsidP="00D714B0">
      <w:pPr>
        <w:spacing w:line="360" w:lineRule="auto"/>
        <w:jc w:val="both"/>
        <w:rPr>
          <w:rFonts w:ascii="Arial" w:eastAsiaTheme="minorEastAsia" w:hAnsi="Arial" w:cs="Arial"/>
          <w:color w:val="262626"/>
          <w:sz w:val="22"/>
          <w:szCs w:val="22"/>
        </w:rPr>
      </w:pPr>
      <w:r w:rsidRPr="00312C7C">
        <w:rPr>
          <w:rFonts w:ascii="Arial" w:hAnsi="Arial"/>
          <w:color w:val="262626"/>
          <w:sz w:val="22"/>
          <w:szCs w:val="22"/>
        </w:rPr>
        <w:t>Mais ce n’est pas tout. En effet, Hoffmann Group a ajouté quatre nouvelles longueurs de base à la gamme GARANT </w:t>
      </w:r>
      <w:proofErr w:type="spellStart"/>
      <w:r w:rsidRPr="00312C7C">
        <w:rPr>
          <w:rFonts w:ascii="Arial" w:hAnsi="Arial"/>
          <w:color w:val="262626"/>
          <w:sz w:val="22"/>
          <w:szCs w:val="22"/>
        </w:rPr>
        <w:t>Xtric</w:t>
      </w:r>
      <w:proofErr w:type="spellEnd"/>
      <w:r w:rsidRPr="00312C7C">
        <w:rPr>
          <w:rFonts w:ascii="Arial" w:hAnsi="Arial"/>
          <w:color w:val="262626"/>
          <w:sz w:val="22"/>
          <w:szCs w:val="22"/>
        </w:rPr>
        <w:t>. Pour l’usinage de petites pièces, l’étau GARANT </w:t>
      </w:r>
      <w:proofErr w:type="spellStart"/>
      <w:r w:rsidRPr="00312C7C">
        <w:rPr>
          <w:rFonts w:ascii="Arial" w:hAnsi="Arial"/>
          <w:color w:val="262626"/>
          <w:sz w:val="22"/>
          <w:szCs w:val="22"/>
        </w:rPr>
        <w:t>Xtric</w:t>
      </w:r>
      <w:proofErr w:type="spellEnd"/>
      <w:r w:rsidRPr="00312C7C">
        <w:rPr>
          <w:rFonts w:ascii="Arial" w:hAnsi="Arial"/>
          <w:color w:val="262626"/>
          <w:sz w:val="22"/>
          <w:szCs w:val="22"/>
        </w:rPr>
        <w:t xml:space="preserve"> est également disponible pour la première fois dans la taille XS avec une longueur de base de seulement 136 millimètres. Dans la largeur de mors de 80 millimètres, les tailles XS, S et M sont désormais disponibles. À cela s’ajoutent de nouveaux étaux avec une largeur de mors de 125 millimètres, une force de serrage de 32 kN et une longueur maximale de 270 millimètres dans les tailles XS, S et M. Tous les modèles sont également disponibles avec des mors mobiles. Le client a ainsi le choix entre six tailles d’étau, qui se déclinent chacune en deux variantes. </w:t>
      </w:r>
    </w:p>
    <w:p w14:paraId="011E2E0F" w14:textId="77777777" w:rsidR="00B81801" w:rsidRPr="00312C7C" w:rsidRDefault="00B81801" w:rsidP="00B81801">
      <w:pPr>
        <w:spacing w:line="360" w:lineRule="auto"/>
        <w:rPr>
          <w:rFonts w:ascii="Arial" w:eastAsiaTheme="minorEastAsia" w:hAnsi="Arial" w:cs="Arial"/>
          <w:color w:val="262626"/>
          <w:sz w:val="22"/>
          <w:szCs w:val="22"/>
        </w:rPr>
      </w:pPr>
    </w:p>
    <w:p w14:paraId="7DD996CA" w14:textId="3D43C319" w:rsidR="00B81801" w:rsidRPr="00312C7C" w:rsidRDefault="00B81801" w:rsidP="00D714B0">
      <w:pPr>
        <w:spacing w:line="360" w:lineRule="auto"/>
        <w:jc w:val="both"/>
        <w:rPr>
          <w:rFonts w:ascii="Arial" w:hAnsi="Arial" w:cs="Arial"/>
          <w:bCs/>
          <w:sz w:val="22"/>
          <w:szCs w:val="22"/>
        </w:rPr>
      </w:pPr>
      <w:r w:rsidRPr="00312C7C">
        <w:rPr>
          <w:rFonts w:ascii="Arial" w:hAnsi="Arial"/>
          <w:color w:val="262626"/>
          <w:sz w:val="22"/>
          <w:szCs w:val="22"/>
        </w:rPr>
        <w:t>L’étau GARANT </w:t>
      </w:r>
      <w:proofErr w:type="spellStart"/>
      <w:r w:rsidRPr="00312C7C">
        <w:rPr>
          <w:rFonts w:ascii="Arial" w:hAnsi="Arial"/>
          <w:color w:val="262626"/>
          <w:sz w:val="22"/>
          <w:szCs w:val="22"/>
        </w:rPr>
        <w:t>Xtric</w:t>
      </w:r>
      <w:proofErr w:type="spellEnd"/>
      <w:r w:rsidRPr="00312C7C">
        <w:rPr>
          <w:rFonts w:ascii="Arial" w:hAnsi="Arial"/>
          <w:color w:val="262626"/>
          <w:sz w:val="22"/>
          <w:szCs w:val="22"/>
        </w:rPr>
        <w:t xml:space="preserve"> peut être rapidement et aisément converti en un étau double : il suffit simplement de remplacer le palier de broche standard et d’insérer le mors </w:t>
      </w:r>
      <w:r w:rsidRPr="00312C7C">
        <w:rPr>
          <w:rFonts w:ascii="Arial" w:hAnsi="Arial"/>
          <w:color w:val="262626"/>
          <w:sz w:val="22"/>
          <w:szCs w:val="22"/>
        </w:rPr>
        <w:lastRenderedPageBreak/>
        <w:t>intermédiaire. Ensuite, les mors interchangeables pivotants à 180° et extrêmement précis sont remis en place. Cette opération s’effectue en un tour de main grâce au mécanisme d’enclipsage ; les mors de préhension GARANT permettent de serrer des pièces brutes sans pré-marquage</w:t>
      </w:r>
      <w:r w:rsidRPr="00312C7C">
        <w:rPr>
          <w:rFonts w:ascii="Arial" w:hAnsi="Arial"/>
          <w:bCs/>
          <w:sz w:val="22"/>
          <w:szCs w:val="22"/>
        </w:rPr>
        <w:t xml:space="preserve">. Pour le système « Lang », des mors rapportés adaptés sont également prévus. Tous les modèles sont en outre équipés de série d’une </w:t>
      </w:r>
      <w:r w:rsidRPr="00312C7C">
        <w:rPr>
          <w:rFonts w:ascii="Arial" w:hAnsi="Arial"/>
          <w:color w:val="262626"/>
          <w:sz w:val="22"/>
          <w:szCs w:val="22"/>
        </w:rPr>
        <w:t xml:space="preserve">interface d’automatisation </w:t>
      </w:r>
      <w:proofErr w:type="spellStart"/>
      <w:r w:rsidRPr="00312C7C">
        <w:rPr>
          <w:rFonts w:ascii="Arial" w:hAnsi="Arial"/>
          <w:color w:val="262626"/>
          <w:sz w:val="22"/>
          <w:szCs w:val="22"/>
        </w:rPr>
        <w:t>endutec</w:t>
      </w:r>
      <w:proofErr w:type="spellEnd"/>
      <w:r w:rsidRPr="00312C7C">
        <w:rPr>
          <w:rFonts w:ascii="Arial" w:hAnsi="Arial"/>
          <w:color w:val="262626"/>
          <w:sz w:val="22"/>
          <w:szCs w:val="22"/>
        </w:rPr>
        <w:t>, qui peut également être utilisée comme alésage pour évacuation du lubrifiant, ainsi que</w:t>
      </w:r>
      <w:r w:rsidRPr="00312C7C">
        <w:rPr>
          <w:rFonts w:ascii="Arial" w:hAnsi="Arial"/>
          <w:bCs/>
          <w:sz w:val="22"/>
          <w:szCs w:val="22"/>
        </w:rPr>
        <w:t xml:space="preserve"> </w:t>
      </w:r>
      <w:r w:rsidRPr="00312C7C">
        <w:rPr>
          <w:rFonts w:ascii="Arial" w:hAnsi="Arial"/>
          <w:color w:val="262626"/>
          <w:sz w:val="22"/>
          <w:szCs w:val="22"/>
        </w:rPr>
        <w:t>d’alésages de préhension des deux côtés. Ils se prêtent ainsi aux stratégies d’automatisation les plus diverses.</w:t>
      </w:r>
      <w:r w:rsidRPr="00312C7C">
        <w:rPr>
          <w:rFonts w:ascii="Arial" w:hAnsi="Arial"/>
          <w:bCs/>
          <w:sz w:val="22"/>
          <w:szCs w:val="22"/>
        </w:rPr>
        <w:t xml:space="preserve"> </w:t>
      </w:r>
    </w:p>
    <w:p w14:paraId="1F7ABD12" w14:textId="77777777" w:rsidR="00B81801" w:rsidRPr="00312C7C" w:rsidRDefault="00B81801" w:rsidP="00B81801">
      <w:pPr>
        <w:spacing w:line="360" w:lineRule="auto"/>
        <w:rPr>
          <w:rFonts w:ascii="Arial" w:hAnsi="Arial" w:cs="Arial"/>
          <w:bCs/>
          <w:sz w:val="22"/>
          <w:szCs w:val="22"/>
        </w:rPr>
      </w:pPr>
    </w:p>
    <w:p w14:paraId="42B419F4" w14:textId="46B65D9B" w:rsidR="00B81801" w:rsidRPr="00312C7C" w:rsidRDefault="00B81801" w:rsidP="00D714B0">
      <w:pPr>
        <w:spacing w:line="360" w:lineRule="auto"/>
        <w:jc w:val="both"/>
        <w:rPr>
          <w:rFonts w:ascii="Arial" w:hAnsi="Arial" w:cs="Arial"/>
          <w:bCs/>
          <w:sz w:val="22"/>
          <w:szCs w:val="22"/>
        </w:rPr>
      </w:pPr>
      <w:r w:rsidRPr="00312C7C">
        <w:rPr>
          <w:rFonts w:ascii="Arial" w:hAnsi="Arial"/>
          <w:bCs/>
          <w:sz w:val="22"/>
          <w:szCs w:val="22"/>
        </w:rPr>
        <w:t>Pour la fixation sur la table de la machine, l’étau GARANT </w:t>
      </w:r>
      <w:proofErr w:type="spellStart"/>
      <w:r w:rsidRPr="00312C7C">
        <w:rPr>
          <w:rFonts w:ascii="Arial" w:hAnsi="Arial"/>
          <w:bCs/>
          <w:sz w:val="22"/>
          <w:szCs w:val="22"/>
        </w:rPr>
        <w:t>Xtric</w:t>
      </w:r>
      <w:proofErr w:type="spellEnd"/>
      <w:r w:rsidRPr="00312C7C">
        <w:rPr>
          <w:rFonts w:ascii="Arial" w:hAnsi="Arial"/>
          <w:bCs/>
          <w:sz w:val="22"/>
          <w:szCs w:val="22"/>
        </w:rPr>
        <w:t xml:space="preserve"> est muni de rainures longitudinales, d’alésages pour le système de positionnement Lang avec une mesure étalon de 52 ou 96 millimètres ainsi que de plaques d’adaptation pour le serrage sur le système GARANT </w:t>
      </w:r>
      <w:proofErr w:type="spellStart"/>
      <w:r w:rsidRPr="00312C7C">
        <w:rPr>
          <w:rFonts w:ascii="Arial" w:hAnsi="Arial"/>
          <w:bCs/>
          <w:sz w:val="22"/>
          <w:szCs w:val="22"/>
        </w:rPr>
        <w:t>Zero</w:t>
      </w:r>
      <w:proofErr w:type="spellEnd"/>
      <w:r w:rsidRPr="00312C7C">
        <w:rPr>
          <w:rFonts w:ascii="Arial" w:hAnsi="Arial"/>
          <w:bCs/>
          <w:sz w:val="22"/>
          <w:szCs w:val="22"/>
        </w:rPr>
        <w:t xml:space="preserve"> Clamp ou d’autres systèmes de serrage à point zéro. </w:t>
      </w:r>
    </w:p>
    <w:p w14:paraId="12548B3F" w14:textId="77777777" w:rsidR="00B81801" w:rsidRPr="00312C7C" w:rsidRDefault="00B81801" w:rsidP="00B81801">
      <w:pPr>
        <w:spacing w:line="360" w:lineRule="auto"/>
        <w:rPr>
          <w:rFonts w:ascii="Arial" w:hAnsi="Arial" w:cs="Arial"/>
          <w:bCs/>
          <w:sz w:val="22"/>
          <w:szCs w:val="22"/>
        </w:rPr>
      </w:pPr>
    </w:p>
    <w:p w14:paraId="506EAF0D" w14:textId="0C2BE60A" w:rsidR="00B81801" w:rsidRPr="00312C7C" w:rsidRDefault="00B81801" w:rsidP="00D714B0">
      <w:pPr>
        <w:spacing w:line="360" w:lineRule="auto"/>
        <w:jc w:val="both"/>
        <w:rPr>
          <w:rFonts w:ascii="Arial" w:hAnsi="Arial" w:cs="Arial"/>
          <w:bCs/>
          <w:sz w:val="22"/>
          <w:szCs w:val="22"/>
        </w:rPr>
      </w:pPr>
      <w:r w:rsidRPr="00312C7C">
        <w:rPr>
          <w:rFonts w:ascii="Arial" w:hAnsi="Arial"/>
          <w:bCs/>
          <w:sz w:val="22"/>
          <w:szCs w:val="22"/>
        </w:rPr>
        <w:t>Les nouveaux étaux autocentrants</w:t>
      </w:r>
      <w:r w:rsidRPr="00312C7C">
        <w:rPr>
          <w:rFonts w:ascii="Arial" w:hAnsi="Arial"/>
          <w:color w:val="262626"/>
          <w:sz w:val="22"/>
          <w:szCs w:val="22"/>
        </w:rPr>
        <w:t xml:space="preserve"> </w:t>
      </w:r>
      <w:r w:rsidR="00D714B0">
        <w:rPr>
          <w:rFonts w:ascii="Arial" w:hAnsi="Arial"/>
          <w:color w:val="262626"/>
          <w:sz w:val="22"/>
          <w:szCs w:val="22"/>
        </w:rPr>
        <w:t xml:space="preserve">sont disponibles de suite sur notre </w:t>
      </w:r>
      <w:proofErr w:type="spellStart"/>
      <w:r w:rsidR="00D714B0">
        <w:rPr>
          <w:rFonts w:ascii="Arial" w:hAnsi="Arial"/>
          <w:color w:val="262626"/>
          <w:sz w:val="22"/>
          <w:szCs w:val="22"/>
        </w:rPr>
        <w:t>eshop</w:t>
      </w:r>
      <w:proofErr w:type="spellEnd"/>
      <w:r w:rsidR="00D714B0">
        <w:rPr>
          <w:rFonts w:ascii="Arial" w:hAnsi="Arial"/>
          <w:color w:val="262626"/>
          <w:sz w:val="22"/>
          <w:szCs w:val="22"/>
        </w:rPr>
        <w:t xml:space="preserve"> </w:t>
      </w:r>
      <w:hyperlink r:id="rId11" w:history="1">
        <w:r w:rsidR="00D714B0" w:rsidRPr="00E35B95">
          <w:rPr>
            <w:rStyle w:val="Hyperlink"/>
            <w:rFonts w:ascii="Arial" w:hAnsi="Arial"/>
            <w:sz w:val="22"/>
            <w:szCs w:val="22"/>
          </w:rPr>
          <w:t>www.hoffmann-group.com</w:t>
        </w:r>
      </w:hyperlink>
      <w:r w:rsidRPr="00312C7C">
        <w:rPr>
          <w:rFonts w:ascii="Arial" w:hAnsi="Arial"/>
          <w:bCs/>
          <w:sz w:val="22"/>
          <w:szCs w:val="22"/>
        </w:rPr>
        <w:t xml:space="preserve">. </w:t>
      </w:r>
    </w:p>
    <w:p w14:paraId="413E6448" w14:textId="77777777" w:rsidR="00B81801" w:rsidRPr="00312C7C" w:rsidRDefault="00B81801" w:rsidP="00B81801">
      <w:pPr>
        <w:spacing w:line="360" w:lineRule="auto"/>
        <w:rPr>
          <w:rFonts w:ascii="Arial" w:hAnsi="Arial" w:cs="Arial"/>
          <w:bCs/>
          <w:sz w:val="22"/>
          <w:szCs w:val="22"/>
        </w:rPr>
      </w:pPr>
    </w:p>
    <w:tbl>
      <w:tblPr>
        <w:tblStyle w:val="Tabellenraster"/>
        <w:tblW w:w="83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5954"/>
      </w:tblGrid>
      <w:tr w:rsidR="00B81801" w:rsidRPr="00312C7C" w14:paraId="58484382" w14:textId="77777777" w:rsidTr="00290CBC">
        <w:trPr>
          <w:trHeight w:val="423"/>
        </w:trPr>
        <w:tc>
          <w:tcPr>
            <w:tcW w:w="2410" w:type="dxa"/>
          </w:tcPr>
          <w:p w14:paraId="119A00D7" w14:textId="77777777" w:rsidR="00B81801" w:rsidRPr="00312C7C" w:rsidRDefault="00B81801" w:rsidP="00290CBC">
            <w:pPr>
              <w:spacing w:line="360" w:lineRule="auto"/>
              <w:rPr>
                <w:rFonts w:ascii="Arial" w:hAnsi="Arial" w:cs="Arial"/>
                <w:snapToGrid w:val="0"/>
                <w:sz w:val="22"/>
                <w:szCs w:val="22"/>
              </w:rPr>
            </w:pPr>
            <w:bookmarkStart w:id="1" w:name="OLE_LINK1"/>
            <w:bookmarkStart w:id="2" w:name="OLE_LINK2"/>
            <w:r w:rsidRPr="00312C7C">
              <w:rPr>
                <w:noProof/>
                <w:lang w:eastAsia="zh-CN"/>
              </w:rPr>
              <w:drawing>
                <wp:inline distT="0" distB="0" distL="0" distR="0" wp14:anchorId="647B7BFB" wp14:editId="705049FC">
                  <wp:extent cx="1393190" cy="7188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93190" cy="718820"/>
                          </a:xfrm>
                          <a:prstGeom prst="rect">
                            <a:avLst/>
                          </a:prstGeom>
                        </pic:spPr>
                      </pic:pic>
                    </a:graphicData>
                  </a:graphic>
                </wp:inline>
              </w:drawing>
            </w:r>
          </w:p>
        </w:tc>
        <w:tc>
          <w:tcPr>
            <w:tcW w:w="5954" w:type="dxa"/>
          </w:tcPr>
          <w:p w14:paraId="5C1EF40C" w14:textId="1268F001" w:rsidR="00B81801" w:rsidRPr="00312C7C" w:rsidRDefault="00B81801" w:rsidP="00D714B0">
            <w:pPr>
              <w:tabs>
                <w:tab w:val="left" w:pos="4320"/>
              </w:tabs>
              <w:suppressAutoHyphens/>
              <w:spacing w:line="360" w:lineRule="auto"/>
              <w:jc w:val="both"/>
              <w:rPr>
                <w:rFonts w:ascii="Arial" w:hAnsi="Arial" w:cs="Arial"/>
                <w:snapToGrid w:val="0"/>
                <w:sz w:val="22"/>
                <w:szCs w:val="22"/>
              </w:rPr>
            </w:pPr>
            <w:r w:rsidRPr="00312C7C">
              <w:rPr>
                <w:rFonts w:ascii="Arial" w:hAnsi="Arial"/>
                <w:b/>
                <w:bCs/>
                <w:snapToGrid w:val="0"/>
                <w:sz w:val="22"/>
                <w:szCs w:val="22"/>
              </w:rPr>
              <w:t>Légende :</w:t>
            </w:r>
            <w:r w:rsidRPr="00312C7C">
              <w:rPr>
                <w:rFonts w:ascii="Arial" w:hAnsi="Arial"/>
                <w:snapToGrid w:val="0"/>
                <w:sz w:val="22"/>
                <w:szCs w:val="22"/>
              </w:rPr>
              <w:t xml:space="preserve"> L’étau autocentrant GARANT </w:t>
            </w:r>
            <w:proofErr w:type="spellStart"/>
            <w:r w:rsidRPr="00312C7C">
              <w:rPr>
                <w:rFonts w:ascii="Arial" w:hAnsi="Arial"/>
                <w:snapToGrid w:val="0"/>
                <w:sz w:val="22"/>
                <w:szCs w:val="22"/>
              </w:rPr>
              <w:t>Xtric</w:t>
            </w:r>
            <w:proofErr w:type="spellEnd"/>
            <w:r w:rsidRPr="00312C7C">
              <w:rPr>
                <w:rFonts w:ascii="Arial" w:hAnsi="Arial"/>
                <w:snapToGrid w:val="0"/>
                <w:sz w:val="22"/>
                <w:szCs w:val="22"/>
              </w:rPr>
              <w:t xml:space="preserve"> </w:t>
            </w:r>
            <w:r w:rsidR="00D714B0">
              <w:rPr>
                <w:rFonts w:ascii="Arial" w:hAnsi="Arial"/>
                <w:snapToGrid w:val="0"/>
                <w:sz w:val="22"/>
                <w:szCs w:val="22"/>
              </w:rPr>
              <w:t>est</w:t>
            </w:r>
            <w:r w:rsidRPr="00312C7C">
              <w:rPr>
                <w:rFonts w:ascii="Arial" w:hAnsi="Arial"/>
                <w:snapToGrid w:val="0"/>
                <w:sz w:val="22"/>
                <w:szCs w:val="22"/>
              </w:rPr>
              <w:t xml:space="preserve"> également disponible avec un mors intermédiaire.</w:t>
            </w:r>
            <w:r w:rsidRPr="00312C7C">
              <w:rPr>
                <w:rFonts w:ascii="Arial" w:hAnsi="Arial"/>
                <w:b/>
                <w:color w:val="262626"/>
                <w:sz w:val="22"/>
                <w:szCs w:val="22"/>
              </w:rPr>
              <w:t xml:space="preserve"> </w:t>
            </w:r>
            <w:r w:rsidRPr="00312C7C">
              <w:rPr>
                <w:rFonts w:ascii="Arial" w:hAnsi="Arial"/>
                <w:snapToGrid w:val="0"/>
                <w:sz w:val="22"/>
                <w:szCs w:val="22"/>
              </w:rPr>
              <w:t xml:space="preserve">Les alésages de préhension et l’interface d’automatisation </w:t>
            </w:r>
            <w:proofErr w:type="spellStart"/>
            <w:r w:rsidRPr="00312C7C">
              <w:rPr>
                <w:rFonts w:ascii="Arial" w:hAnsi="Arial"/>
                <w:snapToGrid w:val="0"/>
                <w:sz w:val="22"/>
                <w:szCs w:val="22"/>
              </w:rPr>
              <w:t>endutec</w:t>
            </w:r>
            <w:proofErr w:type="spellEnd"/>
            <w:r w:rsidRPr="00312C7C">
              <w:rPr>
                <w:rFonts w:ascii="Arial" w:hAnsi="Arial"/>
                <w:snapToGrid w:val="0"/>
                <w:sz w:val="22"/>
                <w:szCs w:val="22"/>
              </w:rPr>
              <w:t xml:space="preserve"> permettent de l’utiliser dans un environnement automatisé.</w:t>
            </w:r>
          </w:p>
          <w:p w14:paraId="2A855630" w14:textId="77777777" w:rsidR="00B81801" w:rsidRPr="00312C7C" w:rsidRDefault="00B81801" w:rsidP="00290CBC">
            <w:pPr>
              <w:tabs>
                <w:tab w:val="left" w:pos="4320"/>
              </w:tabs>
              <w:suppressAutoHyphens/>
              <w:spacing w:line="360" w:lineRule="auto"/>
              <w:rPr>
                <w:rFonts w:ascii="Arial" w:hAnsi="Arial" w:cs="Arial"/>
                <w:noProof/>
                <w:color w:val="FF0000"/>
                <w:sz w:val="22"/>
                <w:szCs w:val="22"/>
                <w:lang w:eastAsia="zh-CN" w:bidi="th-TH"/>
              </w:rPr>
            </w:pPr>
          </w:p>
        </w:tc>
      </w:tr>
      <w:tr w:rsidR="00B81801" w:rsidRPr="00312C7C" w14:paraId="3ED2EB40" w14:textId="77777777" w:rsidTr="00290CBC">
        <w:trPr>
          <w:trHeight w:val="423"/>
        </w:trPr>
        <w:tc>
          <w:tcPr>
            <w:tcW w:w="2410" w:type="dxa"/>
          </w:tcPr>
          <w:p w14:paraId="6752A46C" w14:textId="77777777" w:rsidR="00B81801" w:rsidRPr="00312C7C" w:rsidRDefault="00B81801" w:rsidP="00290CBC">
            <w:pPr>
              <w:spacing w:line="360" w:lineRule="auto"/>
              <w:rPr>
                <w:noProof/>
              </w:rPr>
            </w:pPr>
            <w:r w:rsidRPr="00312C7C">
              <w:rPr>
                <w:noProof/>
                <w:lang w:eastAsia="zh-CN"/>
              </w:rPr>
              <w:drawing>
                <wp:inline distT="0" distB="0" distL="0" distR="0" wp14:anchorId="533347C6" wp14:editId="71556140">
                  <wp:extent cx="1393190" cy="70231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93190" cy="702310"/>
                          </a:xfrm>
                          <a:prstGeom prst="rect">
                            <a:avLst/>
                          </a:prstGeom>
                        </pic:spPr>
                      </pic:pic>
                    </a:graphicData>
                  </a:graphic>
                </wp:inline>
              </w:drawing>
            </w:r>
          </w:p>
        </w:tc>
        <w:tc>
          <w:tcPr>
            <w:tcW w:w="5954" w:type="dxa"/>
          </w:tcPr>
          <w:p w14:paraId="687AA709" w14:textId="4C886958" w:rsidR="00B81801" w:rsidRPr="00312C7C" w:rsidRDefault="00B81801" w:rsidP="00D714B0">
            <w:pPr>
              <w:tabs>
                <w:tab w:val="left" w:pos="4320"/>
              </w:tabs>
              <w:suppressAutoHyphens/>
              <w:spacing w:line="360" w:lineRule="auto"/>
              <w:jc w:val="both"/>
              <w:rPr>
                <w:rFonts w:ascii="Arial" w:hAnsi="Arial" w:cs="Arial"/>
                <w:snapToGrid w:val="0"/>
                <w:sz w:val="22"/>
                <w:szCs w:val="22"/>
              </w:rPr>
            </w:pPr>
            <w:r w:rsidRPr="00312C7C">
              <w:rPr>
                <w:rFonts w:ascii="Arial" w:hAnsi="Arial"/>
                <w:b/>
                <w:bCs/>
                <w:snapToGrid w:val="0"/>
                <w:sz w:val="22"/>
                <w:szCs w:val="22"/>
              </w:rPr>
              <w:t xml:space="preserve">Légende : </w:t>
            </w:r>
            <w:r w:rsidRPr="00312C7C">
              <w:rPr>
                <w:rFonts w:ascii="Arial" w:hAnsi="Arial"/>
                <w:snapToGrid w:val="0"/>
                <w:sz w:val="22"/>
                <w:szCs w:val="22"/>
              </w:rPr>
              <w:t>L’étau autocentrant GARANT </w:t>
            </w:r>
            <w:proofErr w:type="spellStart"/>
            <w:r w:rsidRPr="00312C7C">
              <w:rPr>
                <w:rFonts w:ascii="Arial" w:hAnsi="Arial"/>
                <w:snapToGrid w:val="0"/>
                <w:sz w:val="22"/>
                <w:szCs w:val="22"/>
              </w:rPr>
              <w:t>Xtric</w:t>
            </w:r>
            <w:proofErr w:type="spellEnd"/>
            <w:r w:rsidRPr="00312C7C">
              <w:rPr>
                <w:rFonts w:ascii="Arial" w:hAnsi="Arial"/>
                <w:snapToGrid w:val="0"/>
                <w:sz w:val="22"/>
                <w:szCs w:val="22"/>
              </w:rPr>
              <w:t xml:space="preserve"> possède un système de changement des mors avec mécanique d’enclipsage et des mors pivotants à 180°.</w:t>
            </w:r>
          </w:p>
          <w:p w14:paraId="44670260" w14:textId="77777777" w:rsidR="00B81801" w:rsidRPr="00312C7C" w:rsidRDefault="00B81801" w:rsidP="00290CBC">
            <w:pPr>
              <w:tabs>
                <w:tab w:val="left" w:pos="4320"/>
              </w:tabs>
              <w:suppressAutoHyphens/>
              <w:spacing w:line="360" w:lineRule="auto"/>
              <w:rPr>
                <w:rFonts w:ascii="Arial" w:hAnsi="Arial" w:cs="Arial"/>
                <w:b/>
                <w:bCs/>
                <w:snapToGrid w:val="0"/>
                <w:sz w:val="22"/>
                <w:szCs w:val="22"/>
              </w:rPr>
            </w:pPr>
          </w:p>
        </w:tc>
      </w:tr>
      <w:tr w:rsidR="00B81801" w:rsidRPr="00312C7C" w14:paraId="55441626" w14:textId="77777777" w:rsidTr="00290CBC">
        <w:trPr>
          <w:trHeight w:val="423"/>
        </w:trPr>
        <w:tc>
          <w:tcPr>
            <w:tcW w:w="2410" w:type="dxa"/>
          </w:tcPr>
          <w:p w14:paraId="3C97CFF1" w14:textId="77777777" w:rsidR="00B81801" w:rsidRPr="00312C7C" w:rsidRDefault="00B81801" w:rsidP="00290CBC">
            <w:pPr>
              <w:spacing w:line="360" w:lineRule="auto"/>
              <w:rPr>
                <w:noProof/>
              </w:rPr>
            </w:pPr>
            <w:r w:rsidRPr="00312C7C">
              <w:rPr>
                <w:noProof/>
                <w:lang w:eastAsia="zh-CN"/>
              </w:rPr>
              <w:drawing>
                <wp:inline distT="0" distB="0" distL="0" distR="0" wp14:anchorId="7380CAC9" wp14:editId="2EF068A6">
                  <wp:extent cx="1393190" cy="10140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93190" cy="1014095"/>
                          </a:xfrm>
                          <a:prstGeom prst="rect">
                            <a:avLst/>
                          </a:prstGeom>
                        </pic:spPr>
                      </pic:pic>
                    </a:graphicData>
                  </a:graphic>
                </wp:inline>
              </w:drawing>
            </w:r>
          </w:p>
        </w:tc>
        <w:tc>
          <w:tcPr>
            <w:tcW w:w="5954" w:type="dxa"/>
          </w:tcPr>
          <w:p w14:paraId="2711144A" w14:textId="37CBE8F7" w:rsidR="00B81801" w:rsidRPr="00312C7C" w:rsidRDefault="00B81801" w:rsidP="00D714B0">
            <w:pPr>
              <w:tabs>
                <w:tab w:val="left" w:pos="4320"/>
              </w:tabs>
              <w:suppressAutoHyphens/>
              <w:spacing w:line="360" w:lineRule="auto"/>
              <w:jc w:val="both"/>
              <w:rPr>
                <w:rFonts w:ascii="Arial" w:hAnsi="Arial" w:cs="Arial"/>
                <w:b/>
                <w:bCs/>
                <w:snapToGrid w:val="0"/>
                <w:sz w:val="22"/>
                <w:szCs w:val="22"/>
              </w:rPr>
            </w:pPr>
            <w:r w:rsidRPr="00312C7C">
              <w:rPr>
                <w:rFonts w:ascii="Arial" w:hAnsi="Arial"/>
                <w:b/>
                <w:bCs/>
                <w:snapToGrid w:val="0"/>
                <w:sz w:val="22"/>
                <w:szCs w:val="22"/>
              </w:rPr>
              <w:t xml:space="preserve">Légende : </w:t>
            </w:r>
            <w:r w:rsidRPr="00312C7C">
              <w:rPr>
                <w:rFonts w:ascii="Arial" w:hAnsi="Arial"/>
                <w:snapToGrid w:val="0"/>
                <w:sz w:val="22"/>
                <w:szCs w:val="22"/>
              </w:rPr>
              <w:t>L’étau autocentrant GARANT </w:t>
            </w:r>
            <w:proofErr w:type="spellStart"/>
            <w:r w:rsidRPr="00312C7C">
              <w:rPr>
                <w:rFonts w:ascii="Arial" w:hAnsi="Arial"/>
                <w:snapToGrid w:val="0"/>
                <w:sz w:val="22"/>
                <w:szCs w:val="22"/>
              </w:rPr>
              <w:t>Xtric</w:t>
            </w:r>
            <w:proofErr w:type="spellEnd"/>
            <w:r w:rsidRPr="00312C7C">
              <w:rPr>
                <w:rFonts w:ascii="Arial" w:hAnsi="Arial"/>
                <w:snapToGrid w:val="0"/>
                <w:sz w:val="22"/>
                <w:szCs w:val="22"/>
              </w:rPr>
              <w:t xml:space="preserve"> avec mors intermédiaire permet de serrer deux pièces finies ou brutes. Un pré-marquage est inutile.</w:t>
            </w:r>
          </w:p>
        </w:tc>
      </w:tr>
      <w:bookmarkEnd w:id="1"/>
      <w:bookmarkEnd w:id="2"/>
    </w:tbl>
    <w:p w14:paraId="3012A3A5" w14:textId="042ECCED" w:rsidR="00B81801" w:rsidRDefault="00B81801" w:rsidP="00B81801">
      <w:pPr>
        <w:suppressAutoHyphens/>
        <w:rPr>
          <w:rFonts w:ascii="Arial" w:hAnsi="Arial" w:cs="Arial"/>
          <w:b/>
          <w:bCs/>
          <w:sz w:val="20"/>
          <w:szCs w:val="20"/>
        </w:rPr>
      </w:pPr>
    </w:p>
    <w:p w14:paraId="2A849E99" w14:textId="77777777" w:rsidR="00D714B0" w:rsidRDefault="00D714B0" w:rsidP="00D714B0">
      <w:pPr>
        <w:spacing w:after="240"/>
        <w:rPr>
          <w:rFonts w:ascii="Arial" w:hAnsi="Arial" w:cs="Arial"/>
          <w:b/>
          <w:bCs/>
          <w:color w:val="ED7D31"/>
        </w:rPr>
      </w:pPr>
      <w:r>
        <w:rPr>
          <w:rFonts w:ascii="Arial" w:hAnsi="Arial" w:cs="Arial"/>
          <w:b/>
          <w:bCs/>
          <w:color w:val="ED7D31"/>
        </w:rPr>
        <w:t>À propos de Hoffmann Group ®</w:t>
      </w:r>
    </w:p>
    <w:p w14:paraId="3CC51419" w14:textId="77777777" w:rsidR="00D714B0" w:rsidRDefault="00D714B0" w:rsidP="00D714B0">
      <w:pPr>
        <w:pStyle w:val="StandardWeb"/>
        <w:spacing w:beforeAutospacing="0" w:after="240" w:afterAutospacing="0" w:line="276" w:lineRule="auto"/>
        <w:ind w:right="50"/>
        <w:jc w:val="both"/>
        <w:rPr>
          <w:rFonts w:ascii="Arial" w:hAnsi="Arial" w:cs="Arial"/>
          <w:color w:val="000000"/>
        </w:rPr>
      </w:pPr>
      <w:r>
        <w:rPr>
          <w:rFonts w:ascii="Arial" w:hAnsi="Arial" w:cs="Arial"/>
          <w:color w:val="000000"/>
        </w:rPr>
        <w:t xml:space="preserve">Partenaire européen pour des outils de qualité, la société </w:t>
      </w:r>
      <w:r>
        <w:rPr>
          <w:rFonts w:ascii="Arial" w:hAnsi="Arial" w:cs="Arial"/>
          <w:color w:val="ED7D31"/>
        </w:rPr>
        <w:t>Hoffmann Group</w:t>
      </w:r>
      <w:r>
        <w:rPr>
          <w:rFonts w:ascii="Arial" w:hAnsi="Arial" w:cs="Arial"/>
          <w:color w:val="ED7D31"/>
          <w:vertAlign w:val="superscript"/>
        </w:rPr>
        <w:t>®</w:t>
      </w:r>
      <w:r>
        <w:rPr>
          <w:rFonts w:ascii="Arial" w:hAnsi="Arial" w:cs="Arial"/>
          <w:color w:val="ED7D31"/>
        </w:rPr>
        <w:t xml:space="preserve"> </w:t>
      </w:r>
      <w:r>
        <w:rPr>
          <w:rFonts w:ascii="Arial" w:hAnsi="Arial" w:cs="Arial"/>
          <w:color w:val="000000"/>
        </w:rPr>
        <w:t>conjugue les compétences de distributeur, de fabricant et de prestataire de services. Cette combinaison garantit à plus de 135 000 clients une qualité maximale, une sécurité d’approvisionnement et de productivité dans le domaine de l’Industrie. Hoffmann Group</w:t>
      </w:r>
      <w:r>
        <w:rPr>
          <w:rFonts w:ascii="Arial" w:hAnsi="Arial" w:cs="Arial"/>
          <w:color w:val="000000"/>
          <w:vertAlign w:val="superscript"/>
        </w:rPr>
        <w:t>®</w:t>
      </w:r>
      <w:r>
        <w:rPr>
          <w:rFonts w:ascii="Arial" w:hAnsi="Arial" w:cs="Arial"/>
          <w:color w:val="000000"/>
        </w:rPr>
        <w:t xml:space="preserve"> compte plus de 3 700 collaborateurs et distribue ses produits et ses services aussi bien à des entreprises cotées en bourse qu’à des PME implantées dans plus de 50 pays partout dans le monde. En 2018, plus de 1,4 milliard d’euros de chiffre d’affaires a été généré dans le monde entier. Aux côtés de sa marque premium Garant, Hoffmann Group</w:t>
      </w:r>
      <w:r>
        <w:rPr>
          <w:rFonts w:ascii="Arial" w:hAnsi="Arial" w:cs="Arial"/>
          <w:color w:val="000000"/>
          <w:vertAlign w:val="superscript"/>
        </w:rPr>
        <w:t>®</w:t>
      </w:r>
      <w:r>
        <w:rPr>
          <w:rFonts w:ascii="Arial" w:hAnsi="Arial" w:cs="Arial"/>
          <w:color w:val="000000"/>
        </w:rPr>
        <w:t xml:space="preserve"> propose 85 000 outils de qualité provenant des principaux fabricants mondiaux dans les domaines de l’usinage, des accessoires machines, de la métrologie, de l’abrasif, de l’outillage manuel, de la fourniture industrielle et des équipements d’atelier. Fort d’un service Client omniprésent assuré par plus de 1 400 conseillers et techniciens, et offrant une capacité de livraison de 99% certifiée par le </w:t>
      </w:r>
      <w:proofErr w:type="spellStart"/>
      <w:r>
        <w:rPr>
          <w:rFonts w:ascii="Arial" w:hAnsi="Arial" w:cs="Arial"/>
          <w:color w:val="000000"/>
        </w:rPr>
        <w:t>TüV</w:t>
      </w:r>
      <w:proofErr w:type="spellEnd"/>
      <w:r>
        <w:rPr>
          <w:rFonts w:ascii="Arial" w:hAnsi="Arial" w:cs="Arial"/>
          <w:color w:val="000000"/>
        </w:rPr>
        <w:t>, l’expert en outils de qualité, dont le siège est basé à Munich, assure un partenariat efficace, durable et constructif à ses Clients.</w:t>
      </w:r>
    </w:p>
    <w:p w14:paraId="6FA0C59E" w14:textId="77777777" w:rsidR="00D714B0" w:rsidRDefault="00D714B0" w:rsidP="00D714B0">
      <w:pPr>
        <w:rPr>
          <w:rFonts w:ascii="Arial" w:hAnsi="Arial" w:cs="Arial"/>
        </w:rPr>
      </w:pPr>
      <w:r>
        <w:rPr>
          <w:rFonts w:ascii="Arial" w:hAnsi="Arial" w:cs="Arial"/>
          <w:b/>
          <w:bCs/>
        </w:rPr>
        <w:t>Pour plus d’informations, visitez le site</w:t>
      </w:r>
      <w:r>
        <w:rPr>
          <w:rFonts w:ascii="Arial" w:hAnsi="Arial" w:cs="Arial"/>
          <w:b/>
          <w:bCs/>
          <w:color w:val="ED7D31"/>
        </w:rPr>
        <w:t xml:space="preserve"> </w:t>
      </w:r>
      <w:hyperlink r:id="rId15" w:history="1">
        <w:r>
          <w:rPr>
            <w:rStyle w:val="Hyperlink"/>
            <w:rFonts w:cs="Arial"/>
            <w:b/>
            <w:bCs/>
            <w:color w:val="ED7D31"/>
          </w:rPr>
          <w:t>www.hoffmann-group.com</w:t>
        </w:r>
      </w:hyperlink>
    </w:p>
    <w:p w14:paraId="05CA23A1" w14:textId="77777777" w:rsidR="00D714B0" w:rsidRDefault="00D714B0" w:rsidP="00D714B0">
      <w:pPr>
        <w:suppressAutoHyphens/>
        <w:rPr>
          <w:rFonts w:ascii="Arial" w:hAnsi="Arial" w:cs="Arial"/>
          <w:b/>
        </w:rPr>
      </w:pPr>
    </w:p>
    <w:p w14:paraId="36C59A40" w14:textId="77777777" w:rsidR="00D714B0" w:rsidRDefault="00D714B0" w:rsidP="00D714B0">
      <w:pPr>
        <w:tabs>
          <w:tab w:val="left" w:pos="6237"/>
        </w:tabs>
        <w:jc w:val="both"/>
        <w:rPr>
          <w:rFonts w:ascii="Arial" w:hAnsi="Arial" w:cs="Arial"/>
          <w:b/>
        </w:rPr>
      </w:pPr>
      <w:r>
        <w:rPr>
          <w:rFonts w:ascii="Arial" w:hAnsi="Arial" w:cs="Arial"/>
          <w:b/>
        </w:rPr>
        <w:t>Contact presse</w:t>
      </w:r>
    </w:p>
    <w:p w14:paraId="55BB5D05" w14:textId="77777777" w:rsidR="00D714B0" w:rsidRDefault="00D714B0" w:rsidP="00D714B0">
      <w:pPr>
        <w:tabs>
          <w:tab w:val="left" w:pos="6237"/>
        </w:tabs>
        <w:jc w:val="both"/>
        <w:rPr>
          <w:rFonts w:ascii="Arial" w:hAnsi="Arial" w:cs="Arial"/>
          <w:b/>
        </w:rPr>
      </w:pPr>
      <w:r>
        <w:rPr>
          <w:rFonts w:ascii="Arial" w:hAnsi="Arial" w:cs="Arial"/>
          <w:b/>
        </w:rPr>
        <w:t>Hoffmann France SAS</w:t>
      </w:r>
    </w:p>
    <w:p w14:paraId="0FEC6582" w14:textId="77777777" w:rsidR="00D714B0" w:rsidRDefault="00D714B0" w:rsidP="00D714B0">
      <w:pPr>
        <w:tabs>
          <w:tab w:val="left" w:pos="6237"/>
        </w:tabs>
        <w:jc w:val="both"/>
        <w:rPr>
          <w:rFonts w:ascii="Arial" w:hAnsi="Arial" w:cs="Arial"/>
        </w:rPr>
      </w:pPr>
      <w:r>
        <w:rPr>
          <w:rFonts w:ascii="Arial" w:hAnsi="Arial" w:cs="Arial"/>
        </w:rPr>
        <w:t>1 rue Gay Lussac</w:t>
      </w:r>
    </w:p>
    <w:p w14:paraId="7AFED3C9" w14:textId="77777777" w:rsidR="00D714B0" w:rsidRDefault="00D714B0" w:rsidP="00D714B0">
      <w:pPr>
        <w:tabs>
          <w:tab w:val="left" w:pos="6237"/>
        </w:tabs>
        <w:jc w:val="both"/>
        <w:rPr>
          <w:rFonts w:ascii="Arial" w:hAnsi="Arial" w:cs="Arial"/>
          <w:lang w:val="en-US"/>
        </w:rPr>
      </w:pPr>
      <w:r>
        <w:rPr>
          <w:rFonts w:ascii="Arial" w:hAnsi="Arial" w:cs="Arial"/>
          <w:lang w:val="en-US"/>
        </w:rPr>
        <w:t>F+67410 DRUSENHEIM</w:t>
      </w:r>
    </w:p>
    <w:p w14:paraId="1D0FC2A1" w14:textId="77777777" w:rsidR="00D714B0" w:rsidRDefault="00261327" w:rsidP="00D714B0">
      <w:pPr>
        <w:tabs>
          <w:tab w:val="left" w:pos="284"/>
          <w:tab w:val="left" w:pos="426"/>
          <w:tab w:val="left" w:pos="6237"/>
        </w:tabs>
        <w:jc w:val="both"/>
        <w:rPr>
          <w:rFonts w:ascii="Arial" w:hAnsi="Arial" w:cs="Arial"/>
          <w:color w:val="FF6600"/>
          <w:lang w:val="en-US"/>
        </w:rPr>
      </w:pPr>
      <w:hyperlink r:id="rId16" w:history="1">
        <w:r w:rsidR="00D714B0">
          <w:rPr>
            <w:rStyle w:val="Hyperlink"/>
            <w:rFonts w:cs="Arial"/>
            <w:color w:val="FF6600"/>
            <w:lang w:val="en-US"/>
          </w:rPr>
          <w:t>www.hoffmann-group.com</w:t>
        </w:r>
      </w:hyperlink>
    </w:p>
    <w:p w14:paraId="00AA50AA" w14:textId="77777777" w:rsidR="00D714B0" w:rsidRDefault="00D714B0" w:rsidP="00D714B0">
      <w:pPr>
        <w:jc w:val="both"/>
        <w:rPr>
          <w:rFonts w:ascii="Arial" w:hAnsi="Arial" w:cs="Arial"/>
          <w:lang w:val="en-US"/>
        </w:rPr>
      </w:pPr>
    </w:p>
    <w:p w14:paraId="20E549C0" w14:textId="77777777" w:rsidR="00D714B0" w:rsidRDefault="00D714B0" w:rsidP="00D714B0">
      <w:pPr>
        <w:jc w:val="both"/>
        <w:rPr>
          <w:rFonts w:ascii="Arial" w:hAnsi="Arial" w:cs="Arial"/>
          <w:lang w:val="de-DE"/>
        </w:rPr>
      </w:pPr>
      <w:r>
        <w:rPr>
          <w:rFonts w:ascii="Arial" w:hAnsi="Arial" w:cs="Arial"/>
          <w:lang w:val="de-DE"/>
        </w:rPr>
        <w:t>Eric SCHEEG</w:t>
      </w:r>
    </w:p>
    <w:p w14:paraId="174B02E0" w14:textId="77777777" w:rsidR="00D714B0" w:rsidRPr="00103F44" w:rsidRDefault="00D714B0" w:rsidP="00D714B0">
      <w:pPr>
        <w:jc w:val="both"/>
        <w:rPr>
          <w:rFonts w:ascii="Arial" w:hAnsi="Arial" w:cs="Arial"/>
          <w:lang w:val="en-US"/>
        </w:rPr>
      </w:pPr>
      <w:proofErr w:type="spellStart"/>
      <w:r w:rsidRPr="00103F44">
        <w:rPr>
          <w:rFonts w:ascii="Arial" w:hAnsi="Arial" w:cs="Arial"/>
          <w:lang w:val="en-US"/>
        </w:rPr>
        <w:t>Tél</w:t>
      </w:r>
      <w:proofErr w:type="spellEnd"/>
      <w:proofErr w:type="gramStart"/>
      <w:r w:rsidRPr="00103F44">
        <w:rPr>
          <w:rFonts w:ascii="Arial" w:hAnsi="Arial" w:cs="Arial"/>
          <w:lang w:val="en-US"/>
        </w:rPr>
        <w:t>. :</w:t>
      </w:r>
      <w:proofErr w:type="gramEnd"/>
      <w:r w:rsidRPr="00103F44">
        <w:rPr>
          <w:rFonts w:ascii="Arial" w:hAnsi="Arial" w:cs="Arial"/>
          <w:lang w:val="en-US"/>
        </w:rPr>
        <w:t xml:space="preserve"> +</w:t>
      </w:r>
      <w:r w:rsidRPr="00103F44">
        <w:rPr>
          <w:rStyle w:val="baec5a81-e4d6-4674-97f3-e9220f0136c1"/>
          <w:rFonts w:ascii="Arial" w:hAnsi="Arial" w:cs="Arial"/>
          <w:color w:val="000000"/>
          <w:lang w:val="en-US"/>
        </w:rPr>
        <w:t xml:space="preserve">33 (0)3 90 55 12 73 </w:t>
      </w:r>
    </w:p>
    <w:p w14:paraId="33BA0C3A" w14:textId="77777777" w:rsidR="00D714B0" w:rsidRPr="00103F44" w:rsidRDefault="00D714B0" w:rsidP="00D714B0">
      <w:pPr>
        <w:tabs>
          <w:tab w:val="left" w:pos="284"/>
          <w:tab w:val="left" w:pos="426"/>
          <w:tab w:val="left" w:pos="6237"/>
        </w:tabs>
        <w:jc w:val="both"/>
        <w:rPr>
          <w:rFonts w:ascii="Arial" w:hAnsi="Arial" w:cs="Arial"/>
          <w:b/>
          <w:bCs/>
          <w:lang w:val="en-US"/>
        </w:rPr>
      </w:pPr>
      <w:proofErr w:type="gramStart"/>
      <w:r w:rsidRPr="00103F44">
        <w:rPr>
          <w:rFonts w:ascii="Arial" w:hAnsi="Arial" w:cs="Arial"/>
          <w:lang w:val="en-US"/>
        </w:rPr>
        <w:t>E-mail :</w:t>
      </w:r>
      <w:proofErr w:type="gramEnd"/>
      <w:r w:rsidRPr="00103F44">
        <w:rPr>
          <w:rFonts w:ascii="Arial" w:hAnsi="Arial" w:cs="Arial"/>
          <w:lang w:val="en-US"/>
        </w:rPr>
        <w:t xml:space="preserve"> </w:t>
      </w:r>
      <w:hyperlink r:id="rId17" w:history="1">
        <w:r w:rsidRPr="00103F44">
          <w:rPr>
            <w:rStyle w:val="Hyperlink"/>
            <w:rFonts w:cs="Arial"/>
            <w:lang w:val="en-US"/>
          </w:rPr>
          <w:t>e.scheeg@hoffmann-group.com</w:t>
        </w:r>
      </w:hyperlink>
    </w:p>
    <w:p w14:paraId="0373DBC9" w14:textId="77777777" w:rsidR="00D714B0" w:rsidRPr="00103F44" w:rsidRDefault="00D714B0" w:rsidP="00D714B0">
      <w:pPr>
        <w:rPr>
          <w:lang w:val="en-US"/>
        </w:rPr>
      </w:pPr>
    </w:p>
    <w:p w14:paraId="127841E5" w14:textId="77777777" w:rsidR="00D714B0" w:rsidRPr="00103F44" w:rsidRDefault="00D714B0" w:rsidP="00B81801">
      <w:pPr>
        <w:suppressAutoHyphens/>
        <w:rPr>
          <w:rFonts w:ascii="Arial" w:hAnsi="Arial" w:cs="Arial"/>
          <w:b/>
          <w:bCs/>
          <w:sz w:val="20"/>
          <w:szCs w:val="20"/>
          <w:lang w:val="en-US"/>
        </w:rPr>
      </w:pPr>
    </w:p>
    <w:sectPr w:rsidR="00D714B0" w:rsidRPr="00103F44" w:rsidSect="00290CBC">
      <w:headerReference w:type="default" r:id="rId18"/>
      <w:pgSz w:w="11906" w:h="16838"/>
      <w:pgMar w:top="2380" w:right="240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53473" w14:textId="77777777" w:rsidR="00290CBC" w:rsidRPr="00312C7C" w:rsidRDefault="00290CBC">
      <w:r w:rsidRPr="00312C7C">
        <w:separator/>
      </w:r>
    </w:p>
  </w:endnote>
  <w:endnote w:type="continuationSeparator" w:id="0">
    <w:p w14:paraId="643F8E73" w14:textId="77777777" w:rsidR="00290CBC" w:rsidRPr="00312C7C" w:rsidRDefault="00290CBC">
      <w:r w:rsidRPr="00312C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39895" w14:textId="77777777" w:rsidR="00290CBC" w:rsidRPr="00312C7C" w:rsidRDefault="00290CBC">
      <w:r w:rsidRPr="00312C7C">
        <w:separator/>
      </w:r>
    </w:p>
  </w:footnote>
  <w:footnote w:type="continuationSeparator" w:id="0">
    <w:p w14:paraId="0ED71764" w14:textId="77777777" w:rsidR="00290CBC" w:rsidRPr="00312C7C" w:rsidRDefault="00290CBC">
      <w:r w:rsidRPr="00312C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2FB5" w14:textId="73D071D3" w:rsidR="00290CBC" w:rsidRPr="00312C7C" w:rsidRDefault="00FA1752" w:rsidP="00290CBC">
    <w:pPr>
      <w:pStyle w:val="Kopfzeile"/>
      <w:ind w:right="-992"/>
      <w:jc w:val="right"/>
    </w:pPr>
    <w:r>
      <w:rPr>
        <w:noProof/>
      </w:rPr>
      <w:drawing>
        <wp:inline distT="0" distB="0" distL="0" distR="0" wp14:anchorId="7BC55BD5" wp14:editId="63F9737D">
          <wp:extent cx="2581275" cy="7715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01"/>
    <w:rsid w:val="0000362D"/>
    <w:rsid w:val="00015B48"/>
    <w:rsid w:val="00020915"/>
    <w:rsid w:val="000579E8"/>
    <w:rsid w:val="00087A4D"/>
    <w:rsid w:val="000932C6"/>
    <w:rsid w:val="000B0150"/>
    <w:rsid w:val="000F300C"/>
    <w:rsid w:val="000F6F41"/>
    <w:rsid w:val="00103F44"/>
    <w:rsid w:val="0013013D"/>
    <w:rsid w:val="00131AC2"/>
    <w:rsid w:val="00133918"/>
    <w:rsid w:val="0014553A"/>
    <w:rsid w:val="0016640A"/>
    <w:rsid w:val="00172189"/>
    <w:rsid w:val="00180B93"/>
    <w:rsid w:val="00184422"/>
    <w:rsid w:val="001A2928"/>
    <w:rsid w:val="001B0082"/>
    <w:rsid w:val="001B7CB9"/>
    <w:rsid w:val="001E4861"/>
    <w:rsid w:val="001F594B"/>
    <w:rsid w:val="00203D74"/>
    <w:rsid w:val="00212A66"/>
    <w:rsid w:val="00225DEB"/>
    <w:rsid w:val="00252D50"/>
    <w:rsid w:val="00261327"/>
    <w:rsid w:val="00263CAD"/>
    <w:rsid w:val="00265428"/>
    <w:rsid w:val="00290CBC"/>
    <w:rsid w:val="00292DF5"/>
    <w:rsid w:val="00293E61"/>
    <w:rsid w:val="002B075F"/>
    <w:rsid w:val="00304CE4"/>
    <w:rsid w:val="00312C7C"/>
    <w:rsid w:val="00312C9E"/>
    <w:rsid w:val="00332322"/>
    <w:rsid w:val="00363B35"/>
    <w:rsid w:val="0038312F"/>
    <w:rsid w:val="003A315A"/>
    <w:rsid w:val="003E2F86"/>
    <w:rsid w:val="00443E13"/>
    <w:rsid w:val="00460B91"/>
    <w:rsid w:val="0047576C"/>
    <w:rsid w:val="00487904"/>
    <w:rsid w:val="004963C6"/>
    <w:rsid w:val="004A11E7"/>
    <w:rsid w:val="004A6500"/>
    <w:rsid w:val="004B0B11"/>
    <w:rsid w:val="004D1214"/>
    <w:rsid w:val="004E41B2"/>
    <w:rsid w:val="004F0720"/>
    <w:rsid w:val="00530EE8"/>
    <w:rsid w:val="00541291"/>
    <w:rsid w:val="00544B37"/>
    <w:rsid w:val="00547B6B"/>
    <w:rsid w:val="00556DE8"/>
    <w:rsid w:val="00563716"/>
    <w:rsid w:val="00584728"/>
    <w:rsid w:val="00594C83"/>
    <w:rsid w:val="005A4028"/>
    <w:rsid w:val="005D1727"/>
    <w:rsid w:val="005D2E31"/>
    <w:rsid w:val="005E36DA"/>
    <w:rsid w:val="005E652B"/>
    <w:rsid w:val="005F47D6"/>
    <w:rsid w:val="00617510"/>
    <w:rsid w:val="006322DE"/>
    <w:rsid w:val="006352AA"/>
    <w:rsid w:val="006375CF"/>
    <w:rsid w:val="00642ADB"/>
    <w:rsid w:val="00670C2B"/>
    <w:rsid w:val="006721CA"/>
    <w:rsid w:val="00680D9D"/>
    <w:rsid w:val="006859D4"/>
    <w:rsid w:val="006922D1"/>
    <w:rsid w:val="006967A9"/>
    <w:rsid w:val="006F54F0"/>
    <w:rsid w:val="00702D8B"/>
    <w:rsid w:val="00704C77"/>
    <w:rsid w:val="00714516"/>
    <w:rsid w:val="007541D7"/>
    <w:rsid w:val="007805A5"/>
    <w:rsid w:val="007D39F7"/>
    <w:rsid w:val="008107F9"/>
    <w:rsid w:val="00822A3E"/>
    <w:rsid w:val="00894340"/>
    <w:rsid w:val="008B62F9"/>
    <w:rsid w:val="008C2A94"/>
    <w:rsid w:val="008C73DA"/>
    <w:rsid w:val="008D42E7"/>
    <w:rsid w:val="008E6330"/>
    <w:rsid w:val="008F0B94"/>
    <w:rsid w:val="009026AA"/>
    <w:rsid w:val="00914AD7"/>
    <w:rsid w:val="00920329"/>
    <w:rsid w:val="00926673"/>
    <w:rsid w:val="0095591F"/>
    <w:rsid w:val="00961841"/>
    <w:rsid w:val="00974590"/>
    <w:rsid w:val="00986AEE"/>
    <w:rsid w:val="00997368"/>
    <w:rsid w:val="009C643C"/>
    <w:rsid w:val="009D41A4"/>
    <w:rsid w:val="009E3C39"/>
    <w:rsid w:val="009E61E8"/>
    <w:rsid w:val="00A0201F"/>
    <w:rsid w:val="00A363B3"/>
    <w:rsid w:val="00A6436F"/>
    <w:rsid w:val="00A71D8B"/>
    <w:rsid w:val="00A75E04"/>
    <w:rsid w:val="00A84CE9"/>
    <w:rsid w:val="00A94C5C"/>
    <w:rsid w:val="00A970B4"/>
    <w:rsid w:val="00AB64AC"/>
    <w:rsid w:val="00AC5F42"/>
    <w:rsid w:val="00AE0EF1"/>
    <w:rsid w:val="00B42230"/>
    <w:rsid w:val="00B569CD"/>
    <w:rsid w:val="00B718DA"/>
    <w:rsid w:val="00B81801"/>
    <w:rsid w:val="00B87AF3"/>
    <w:rsid w:val="00BA14EA"/>
    <w:rsid w:val="00BB08BD"/>
    <w:rsid w:val="00BC07A7"/>
    <w:rsid w:val="00BE1051"/>
    <w:rsid w:val="00BE2A52"/>
    <w:rsid w:val="00C07D10"/>
    <w:rsid w:val="00C15340"/>
    <w:rsid w:val="00C21FD6"/>
    <w:rsid w:val="00C3103F"/>
    <w:rsid w:val="00C73E60"/>
    <w:rsid w:val="00C82571"/>
    <w:rsid w:val="00C95FF4"/>
    <w:rsid w:val="00CA454D"/>
    <w:rsid w:val="00CA797F"/>
    <w:rsid w:val="00CC4F87"/>
    <w:rsid w:val="00CE0C1E"/>
    <w:rsid w:val="00CE6139"/>
    <w:rsid w:val="00CF37B1"/>
    <w:rsid w:val="00CF4B5D"/>
    <w:rsid w:val="00D602AA"/>
    <w:rsid w:val="00D714B0"/>
    <w:rsid w:val="00D745F7"/>
    <w:rsid w:val="00D8358E"/>
    <w:rsid w:val="00D84F28"/>
    <w:rsid w:val="00D917D0"/>
    <w:rsid w:val="00DA604B"/>
    <w:rsid w:val="00DA7C08"/>
    <w:rsid w:val="00DC3CF4"/>
    <w:rsid w:val="00DF527E"/>
    <w:rsid w:val="00E15C0A"/>
    <w:rsid w:val="00E25D65"/>
    <w:rsid w:val="00E51BAA"/>
    <w:rsid w:val="00E70E8C"/>
    <w:rsid w:val="00E80ED0"/>
    <w:rsid w:val="00E87EC1"/>
    <w:rsid w:val="00ED45AB"/>
    <w:rsid w:val="00EF00AC"/>
    <w:rsid w:val="00EF606D"/>
    <w:rsid w:val="00F00FFE"/>
    <w:rsid w:val="00F12348"/>
    <w:rsid w:val="00F402F7"/>
    <w:rsid w:val="00F53B89"/>
    <w:rsid w:val="00F55C8D"/>
    <w:rsid w:val="00F713FF"/>
    <w:rsid w:val="00F95804"/>
    <w:rsid w:val="00FA1752"/>
    <w:rsid w:val="00FA4E05"/>
    <w:rsid w:val="00FA719F"/>
    <w:rsid w:val="00FC0962"/>
    <w:rsid w:val="00FC117D"/>
    <w:rsid w:val="00FC2877"/>
    <w:rsid w:val="00FC7194"/>
    <w:rsid w:val="00FD304A"/>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4EC2"/>
  <w15:docId w15:val="{DE8193BB-5C33-433E-BEB3-54D5C7AE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fr-FR"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1801"/>
    <w:pPr>
      <w:spacing w:after="0" w:line="240" w:lineRule="auto"/>
    </w:pPr>
    <w:rPr>
      <w:rFonts w:ascii="Times New Roman" w:eastAsia="Times New Roman" w:hAnsi="Times New Roman" w:cs="Times New Roman"/>
      <w:sz w:val="24"/>
      <w:szCs w:val="24"/>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81801"/>
    <w:rPr>
      <w:rFonts w:cs="Times New Roman"/>
      <w:color w:val="0000FF"/>
      <w:u w:val="single"/>
    </w:rPr>
  </w:style>
  <w:style w:type="paragraph" w:styleId="Kopfzeile">
    <w:name w:val="header"/>
    <w:basedOn w:val="Standard"/>
    <w:link w:val="KopfzeileZchn"/>
    <w:uiPriority w:val="99"/>
    <w:rsid w:val="00B81801"/>
    <w:pPr>
      <w:tabs>
        <w:tab w:val="center" w:pos="4536"/>
        <w:tab w:val="right" w:pos="9072"/>
      </w:tabs>
    </w:pPr>
  </w:style>
  <w:style w:type="character" w:customStyle="1" w:styleId="KopfzeileZchn">
    <w:name w:val="Kopfzeile Zchn"/>
    <w:basedOn w:val="Absatz-Standardschriftart"/>
    <w:link w:val="Kopfzeile"/>
    <w:uiPriority w:val="99"/>
    <w:rsid w:val="00B81801"/>
    <w:rPr>
      <w:rFonts w:ascii="Times New Roman" w:eastAsia="Times New Roman" w:hAnsi="Times New Roman" w:cs="Times New Roman"/>
      <w:sz w:val="24"/>
      <w:szCs w:val="24"/>
      <w:lang w:eastAsia="de-DE" w:bidi="ar-SA"/>
    </w:rPr>
  </w:style>
  <w:style w:type="character" w:styleId="Kommentarzeichen">
    <w:name w:val="annotation reference"/>
    <w:basedOn w:val="Absatz-Standardschriftart"/>
    <w:uiPriority w:val="99"/>
    <w:semiHidden/>
    <w:rsid w:val="00B81801"/>
    <w:rPr>
      <w:rFonts w:cs="Times New Roman"/>
      <w:sz w:val="16"/>
    </w:rPr>
  </w:style>
  <w:style w:type="paragraph" w:styleId="Kommentartext">
    <w:name w:val="annotation text"/>
    <w:basedOn w:val="Standard"/>
    <w:link w:val="KommentartextZchn"/>
    <w:uiPriority w:val="99"/>
    <w:rsid w:val="00B81801"/>
    <w:rPr>
      <w:sz w:val="20"/>
      <w:szCs w:val="20"/>
    </w:rPr>
  </w:style>
  <w:style w:type="character" w:customStyle="1" w:styleId="KommentartextZchn">
    <w:name w:val="Kommentartext Zchn"/>
    <w:basedOn w:val="Absatz-Standardschriftart"/>
    <w:link w:val="Kommentartext"/>
    <w:uiPriority w:val="99"/>
    <w:rsid w:val="00B81801"/>
    <w:rPr>
      <w:rFonts w:ascii="Times New Roman" w:eastAsia="Times New Roman" w:hAnsi="Times New Roman" w:cs="Times New Roman"/>
      <w:sz w:val="20"/>
      <w:szCs w:val="20"/>
      <w:lang w:eastAsia="de-DE" w:bidi="ar-SA"/>
    </w:rPr>
  </w:style>
  <w:style w:type="table" w:styleId="Tabellenraster">
    <w:name w:val="Table Grid"/>
    <w:basedOn w:val="NormaleTabelle"/>
    <w:rsid w:val="00B81801"/>
    <w:pPr>
      <w:spacing w:after="0" w:line="240" w:lineRule="auto"/>
    </w:pPr>
    <w:rPr>
      <w:rFonts w:ascii="Times New Roman" w:eastAsia="Times New Roman" w:hAnsi="Times New Roman" w:cs="Times New Roman"/>
      <w:sz w:val="20"/>
      <w:szCs w:val="20"/>
      <w:lang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bsatz-Standardschriftart"/>
    <w:rsid w:val="00B81801"/>
  </w:style>
  <w:style w:type="paragraph" w:styleId="Sprechblasentext">
    <w:name w:val="Balloon Text"/>
    <w:basedOn w:val="Standard"/>
    <w:link w:val="SprechblasentextZchn"/>
    <w:uiPriority w:val="99"/>
    <w:semiHidden/>
    <w:unhideWhenUsed/>
    <w:rsid w:val="00B818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1801"/>
    <w:rPr>
      <w:rFonts w:ascii="Segoe UI" w:eastAsia="Times New Roman" w:hAnsi="Segoe UI" w:cs="Segoe UI"/>
      <w:sz w:val="18"/>
      <w:szCs w:val="18"/>
      <w:lang w:eastAsia="de-DE" w:bidi="ar-SA"/>
    </w:rPr>
  </w:style>
  <w:style w:type="paragraph" w:styleId="Kommentarthema">
    <w:name w:val="annotation subject"/>
    <w:basedOn w:val="Kommentartext"/>
    <w:next w:val="Kommentartext"/>
    <w:link w:val="KommentarthemaZchn"/>
    <w:uiPriority w:val="99"/>
    <w:semiHidden/>
    <w:unhideWhenUsed/>
    <w:rsid w:val="00714516"/>
    <w:rPr>
      <w:b/>
      <w:bCs/>
    </w:rPr>
  </w:style>
  <w:style w:type="character" w:customStyle="1" w:styleId="KommentarthemaZchn">
    <w:name w:val="Kommentarthema Zchn"/>
    <w:basedOn w:val="KommentartextZchn"/>
    <w:link w:val="Kommentarthema"/>
    <w:uiPriority w:val="99"/>
    <w:semiHidden/>
    <w:rsid w:val="00714516"/>
    <w:rPr>
      <w:rFonts w:ascii="Times New Roman" w:eastAsia="Times New Roman" w:hAnsi="Times New Roman" w:cs="Times New Roman"/>
      <w:b/>
      <w:bCs/>
      <w:sz w:val="20"/>
      <w:szCs w:val="20"/>
      <w:lang w:eastAsia="de-DE" w:bidi="ar-SA"/>
    </w:rPr>
  </w:style>
  <w:style w:type="paragraph" w:styleId="Fuzeile">
    <w:name w:val="footer"/>
    <w:basedOn w:val="Standard"/>
    <w:link w:val="FuzeileZchn"/>
    <w:uiPriority w:val="99"/>
    <w:unhideWhenUsed/>
    <w:rsid w:val="00F55C8D"/>
    <w:pPr>
      <w:tabs>
        <w:tab w:val="center" w:pos="4536"/>
        <w:tab w:val="right" w:pos="9072"/>
      </w:tabs>
    </w:pPr>
  </w:style>
  <w:style w:type="character" w:customStyle="1" w:styleId="FuzeileZchn">
    <w:name w:val="Fußzeile Zchn"/>
    <w:basedOn w:val="Absatz-Standardschriftart"/>
    <w:link w:val="Fuzeile"/>
    <w:uiPriority w:val="99"/>
    <w:rsid w:val="00F55C8D"/>
    <w:rPr>
      <w:rFonts w:ascii="Times New Roman" w:eastAsia="Times New Roman" w:hAnsi="Times New Roman" w:cs="Times New Roman"/>
      <w:sz w:val="24"/>
      <w:szCs w:val="24"/>
      <w:lang w:eastAsia="de-DE" w:bidi="ar-SA"/>
    </w:rPr>
  </w:style>
  <w:style w:type="paragraph" w:styleId="StandardWeb">
    <w:name w:val="Normal (Web)"/>
    <w:basedOn w:val="Standard"/>
    <w:uiPriority w:val="99"/>
    <w:semiHidden/>
    <w:unhideWhenUsed/>
    <w:rsid w:val="00D714B0"/>
    <w:pPr>
      <w:spacing w:before="100" w:beforeAutospacing="1" w:after="100" w:afterAutospacing="1"/>
    </w:pPr>
    <w:rPr>
      <w:rFonts w:ascii="Calibri" w:eastAsiaTheme="minorHAnsi" w:hAnsi="Calibri" w:cs="Calibri"/>
      <w:sz w:val="22"/>
      <w:szCs w:val="22"/>
      <w:lang w:eastAsia="fr-FR"/>
    </w:rPr>
  </w:style>
  <w:style w:type="character" w:styleId="NichtaufgelsteErwhnung">
    <w:name w:val="Unresolved Mention"/>
    <w:basedOn w:val="Absatz-Standardschriftart"/>
    <w:uiPriority w:val="99"/>
    <w:semiHidden/>
    <w:unhideWhenUsed/>
    <w:rsid w:val="00D7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e.scheeg@hoffmann-group.com" TargetMode="External"/><Relationship Id="rId2" Type="http://schemas.openxmlformats.org/officeDocument/2006/relationships/customXml" Target="../customXml/item2.xml"/><Relationship Id="rId16" Type="http://schemas.openxmlformats.org/officeDocument/2006/relationships/hyperlink" Target="http://www.hoffmann-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ffmann-group.com" TargetMode="External"/><Relationship Id="rId5" Type="http://schemas.openxmlformats.org/officeDocument/2006/relationships/styles" Target="styles.xml"/><Relationship Id="rId15" Type="http://schemas.openxmlformats.org/officeDocument/2006/relationships/hyperlink" Target="http://www.hoffmann-group.com/" TargetMode="External"/><Relationship Id="rId10" Type="http://schemas.openxmlformats.org/officeDocument/2006/relationships/hyperlink" Target="http://www.hoffmann-group.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Hoffmann_Group_A4_color">
      <a:dk1>
        <a:srgbClr val="000000"/>
      </a:dk1>
      <a:lt1>
        <a:sysClr val="window" lastClr="FFFFFF"/>
      </a:lt1>
      <a:dk2>
        <a:srgbClr val="262626"/>
      </a:dk2>
      <a:lt2>
        <a:srgbClr val="FFFFFF"/>
      </a:lt2>
      <a:accent1>
        <a:srgbClr val="FF6E00"/>
      </a:accent1>
      <a:accent2>
        <a:srgbClr val="3F3F3F"/>
      </a:accent2>
      <a:accent3>
        <a:srgbClr val="595959"/>
      </a:accent3>
      <a:accent4>
        <a:srgbClr val="D2D2D2"/>
      </a:accent4>
      <a:accent5>
        <a:srgbClr val="CC241C"/>
      </a:accent5>
      <a:accent6>
        <a:srgbClr val="FFFFFF"/>
      </a:accent6>
      <a:hlink>
        <a:srgbClr val="000000"/>
      </a:hlink>
      <a:folHlink>
        <a:srgbClr val="D2D2D2"/>
      </a:folHlink>
    </a:clrScheme>
    <a:fontScheme name="HoffmannGroup_A4">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C2D61235CF84C90E40414D00A90B0" ma:contentTypeVersion="2" ma:contentTypeDescription="Crée un document." ma:contentTypeScope="" ma:versionID="de24e99dffc1f5e76ebcfc806b0c743a">
  <xsd:schema xmlns:xsd="http://www.w3.org/2001/XMLSchema" xmlns:xs="http://www.w3.org/2001/XMLSchema" xmlns:p="http://schemas.microsoft.com/office/2006/metadata/properties" xmlns:ns2="b550beb1-c892-4579-85e1-1b1d39443a62" targetNamespace="http://schemas.microsoft.com/office/2006/metadata/properties" ma:root="true" ma:fieldsID="8be656add4357af73ad6247c0542ec8c" ns2:_="">
    <xsd:import namespace="b550beb1-c892-4579-85e1-1b1d39443a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0beb1-c892-4579-85e1-1b1d39443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B67A-14FE-4B60-BA21-D6AA65F0AD3A}">
  <ds:schemaRefs>
    <ds:schemaRef ds:uri="http://schemas.microsoft.com/sharepoint/v3/contenttype/forms"/>
  </ds:schemaRefs>
</ds:datastoreItem>
</file>

<file path=customXml/itemProps2.xml><?xml version="1.0" encoding="utf-8"?>
<ds:datastoreItem xmlns:ds="http://schemas.openxmlformats.org/officeDocument/2006/customXml" ds:itemID="{50464DCB-362F-45CF-8D62-2286BEE8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0beb1-c892-4579-85e1-1b1d39443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90D18-390D-464E-B826-DBA71FA7A4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7BE74-C0B0-4520-A501-6FBF0086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4488</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Hillebrand Michael</dc:creator>
  <cp:keywords/>
  <dc:description/>
  <cp:lastModifiedBy>Szabó, Malika</cp:lastModifiedBy>
  <cp:revision>2</cp:revision>
  <cp:lastPrinted>2020-02-21T09:22:00Z</cp:lastPrinted>
  <dcterms:created xsi:type="dcterms:W3CDTF">2020-09-22T13:57:00Z</dcterms:created>
  <dcterms:modified xsi:type="dcterms:W3CDTF">2020-09-22T13:57:00Z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0x010100385C2D61235CF84C90E40414D00A90B0</vt:lpwstr>
  </property>
</Properties>
</file>