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20" w:rsidRPr="0098416D" w:rsidRDefault="003C3C20" w:rsidP="003C3C20">
      <w:pPr>
        <w:suppressAutoHyphens/>
        <w:spacing w:before="240" w:line="360" w:lineRule="auto"/>
        <w:ind w:right="850"/>
        <w:jc w:val="both"/>
        <w:outlineLvl w:val="0"/>
        <w:rPr>
          <w:rFonts w:ascii="Arial" w:hAnsi="Arial" w:cs="Arial"/>
          <w:b/>
          <w:sz w:val="22"/>
          <w:szCs w:val="22"/>
        </w:rPr>
      </w:pPr>
      <w:r w:rsidRPr="0098416D">
        <w:rPr>
          <w:rFonts w:ascii="Arial" w:hAnsi="Arial"/>
          <w:b/>
          <w:sz w:val="22"/>
          <w:szCs w:val="22"/>
        </w:rPr>
        <w:t>Communiqué de presse</w:t>
      </w:r>
      <w:r w:rsidRPr="0098416D">
        <w:rPr>
          <w:rFonts w:ascii="Arial" w:hAnsi="Arial"/>
          <w:b/>
          <w:sz w:val="22"/>
          <w:szCs w:val="22"/>
        </w:rPr>
        <w:tab/>
      </w:r>
      <w:r w:rsidRPr="0098416D">
        <w:rPr>
          <w:rFonts w:ascii="Arial" w:hAnsi="Arial"/>
          <w:b/>
          <w:sz w:val="22"/>
          <w:szCs w:val="22"/>
        </w:rPr>
        <w:tab/>
      </w:r>
      <w:r w:rsidRPr="0098416D">
        <w:rPr>
          <w:rFonts w:ascii="Arial" w:hAnsi="Arial"/>
          <w:b/>
          <w:sz w:val="22"/>
          <w:szCs w:val="22"/>
        </w:rPr>
        <w:tab/>
      </w:r>
      <w:r w:rsidRPr="0098416D">
        <w:rPr>
          <w:rFonts w:ascii="Arial" w:hAnsi="Arial"/>
          <w:b/>
          <w:sz w:val="22"/>
          <w:szCs w:val="22"/>
        </w:rPr>
        <w:tab/>
      </w:r>
      <w:r w:rsidRPr="0098416D">
        <w:rPr>
          <w:rFonts w:ascii="Arial" w:hAnsi="Arial"/>
          <w:b/>
          <w:sz w:val="22"/>
          <w:szCs w:val="22"/>
        </w:rPr>
        <w:br/>
      </w:r>
    </w:p>
    <w:p w:rsidR="003C3C20" w:rsidRPr="0098416D" w:rsidRDefault="003C3C20" w:rsidP="003C3C20">
      <w:pPr>
        <w:pStyle w:val="NormalWeb"/>
        <w:spacing w:before="0" w:beforeAutospacing="0" w:after="240" w:afterAutospacing="0" w:line="360" w:lineRule="auto"/>
        <w:ind w:right="-143"/>
        <w:jc w:val="both"/>
        <w:rPr>
          <w:rFonts w:ascii="Arial" w:hAnsi="Arial" w:cs="Arial"/>
          <w:b/>
          <w:sz w:val="28"/>
          <w:szCs w:val="28"/>
        </w:rPr>
      </w:pPr>
      <w:r w:rsidRPr="0098416D">
        <w:rPr>
          <w:rFonts w:ascii="Arial" w:hAnsi="Arial"/>
          <w:b/>
          <w:sz w:val="28"/>
          <w:szCs w:val="28"/>
        </w:rPr>
        <w:t xml:space="preserve">GARANT Master Steel DEEP définit une nouvelle classe de performances pour le perçage profond dans l’acier </w:t>
      </w:r>
    </w:p>
    <w:p w:rsidR="003C3C20" w:rsidRPr="0098416D" w:rsidRDefault="003C3C20" w:rsidP="003C3C20">
      <w:pPr>
        <w:autoSpaceDE w:val="0"/>
        <w:autoSpaceDN w:val="0"/>
        <w:adjustRightInd w:val="0"/>
        <w:spacing w:line="360" w:lineRule="auto"/>
        <w:ind w:right="-1"/>
        <w:jc w:val="both"/>
        <w:rPr>
          <w:rFonts w:ascii="Arial" w:hAnsi="Arial" w:cs="Arial"/>
          <w:b/>
          <w:sz w:val="22"/>
          <w:szCs w:val="22"/>
        </w:rPr>
      </w:pPr>
      <w:r w:rsidRPr="0098416D">
        <w:rPr>
          <w:rFonts w:ascii="Arial" w:hAnsi="Arial"/>
          <w:b/>
          <w:sz w:val="22"/>
          <w:szCs w:val="22"/>
        </w:rPr>
        <w:t>Le nouveau foret long offre un volume de copeaux jusqu’à 30 % plus élevé et une sécurité de processus jusqu’à 70 % supérieure et dure trois fois plus longtemps</w:t>
      </w:r>
      <w:r>
        <w:rPr>
          <w:rFonts w:ascii="Arial" w:hAnsi="Arial"/>
          <w:b/>
          <w:sz w:val="22"/>
          <w:szCs w:val="22"/>
        </w:rPr>
        <w:t>.</w:t>
      </w:r>
    </w:p>
    <w:p w:rsidR="003C3C20" w:rsidRPr="0098416D" w:rsidRDefault="003C3C20" w:rsidP="003C3C20">
      <w:pPr>
        <w:spacing w:line="360" w:lineRule="auto"/>
        <w:jc w:val="both"/>
        <w:rPr>
          <w:rFonts w:ascii="Arial" w:hAnsi="Arial" w:cs="Arial"/>
          <w:b/>
          <w:sz w:val="22"/>
          <w:szCs w:val="22"/>
        </w:rPr>
      </w:pPr>
    </w:p>
    <w:p w:rsidR="003C3C20" w:rsidRPr="0098416D" w:rsidRDefault="003C3C20" w:rsidP="003C3C20">
      <w:pPr>
        <w:autoSpaceDE w:val="0"/>
        <w:autoSpaceDN w:val="0"/>
        <w:adjustRightInd w:val="0"/>
        <w:spacing w:line="360" w:lineRule="auto"/>
        <w:jc w:val="both"/>
        <w:rPr>
          <w:rFonts w:ascii="Arial" w:eastAsiaTheme="minorEastAsia" w:hAnsi="Arial" w:cs="Arial"/>
          <w:sz w:val="22"/>
          <w:szCs w:val="22"/>
        </w:rPr>
      </w:pPr>
      <w:r>
        <w:rPr>
          <w:rFonts w:ascii="Arial" w:hAnsi="Arial"/>
          <w:b/>
          <w:sz w:val="22"/>
          <w:szCs w:val="22"/>
        </w:rPr>
        <w:t>Strasbourg</w:t>
      </w:r>
      <w:r w:rsidRPr="009E7128">
        <w:rPr>
          <w:rFonts w:ascii="Arial" w:hAnsi="Arial"/>
          <w:b/>
          <w:sz w:val="22"/>
          <w:szCs w:val="22"/>
        </w:rPr>
        <w:t xml:space="preserve">, le </w:t>
      </w:r>
      <w:r w:rsidR="009E7128" w:rsidRPr="009E7128">
        <w:rPr>
          <w:rFonts w:ascii="Arial" w:hAnsi="Arial"/>
          <w:b/>
          <w:sz w:val="22"/>
          <w:szCs w:val="22"/>
        </w:rPr>
        <w:t>1</w:t>
      </w:r>
      <w:r w:rsidRPr="009E7128">
        <w:rPr>
          <w:rFonts w:ascii="Arial" w:hAnsi="Arial"/>
          <w:b/>
          <w:sz w:val="22"/>
          <w:szCs w:val="22"/>
        </w:rPr>
        <w:t>7 </w:t>
      </w:r>
      <w:r w:rsidR="009E7128" w:rsidRPr="009E7128">
        <w:rPr>
          <w:rFonts w:ascii="Arial" w:hAnsi="Arial"/>
          <w:b/>
          <w:sz w:val="22"/>
          <w:szCs w:val="22"/>
        </w:rPr>
        <w:t>août</w:t>
      </w:r>
      <w:r w:rsidRPr="009E7128">
        <w:rPr>
          <w:rFonts w:ascii="Arial" w:hAnsi="Arial"/>
          <w:b/>
          <w:sz w:val="22"/>
          <w:szCs w:val="22"/>
        </w:rPr>
        <w:t> 2020 – La gamme de produits d’usinage hautes performances « Garant Master » s’enrichit à nouveau. Avec GARANT Maste</w:t>
      </w:r>
      <w:r w:rsidRPr="0098416D">
        <w:rPr>
          <w:rFonts w:ascii="Arial" w:hAnsi="Arial"/>
          <w:b/>
          <w:sz w:val="22"/>
          <w:szCs w:val="22"/>
        </w:rPr>
        <w:t xml:space="preserve">r Steel DEEP, </w:t>
      </w:r>
      <w:hyperlink r:id="rId4" w:history="1">
        <w:r w:rsidRPr="0098416D">
          <w:rPr>
            <w:rStyle w:val="Lienhypertexte"/>
            <w:rFonts w:ascii="Arial" w:hAnsi="Arial"/>
            <w:b/>
            <w:sz w:val="22"/>
            <w:szCs w:val="22"/>
          </w:rPr>
          <w:t>Hoffmann Group</w:t>
        </w:r>
      </w:hyperlink>
      <w:r>
        <w:rPr>
          <w:rStyle w:val="Lienhypertexte"/>
          <w:rFonts w:ascii="Arial" w:hAnsi="Arial"/>
          <w:b/>
          <w:sz w:val="22"/>
          <w:szCs w:val="22"/>
        </w:rPr>
        <w:t xml:space="preserve"> </w:t>
      </w:r>
      <w:r w:rsidRPr="0098416D">
        <w:rPr>
          <w:rFonts w:ascii="Arial" w:hAnsi="Arial"/>
          <w:b/>
          <w:sz w:val="22"/>
          <w:szCs w:val="22"/>
        </w:rPr>
        <w:t xml:space="preserve">commercialise un nouveau foret long digne de superlatifs. L’outil a été conçu pour un perçage profond extrêmement fiable avec des paramètres de coupe élevés. Optimisé pour l’usinage de l’acier, le foret long </w:t>
      </w:r>
      <w:r w:rsidRPr="00EC63E6">
        <w:rPr>
          <w:rFonts w:ascii="Arial" w:hAnsi="Arial"/>
          <w:b/>
          <w:color w:val="000000" w:themeColor="text1"/>
          <w:sz w:val="22"/>
          <w:szCs w:val="22"/>
        </w:rPr>
        <w:t>sans perçage co</w:t>
      </w:r>
      <w:r w:rsidRPr="0098416D">
        <w:rPr>
          <w:rFonts w:ascii="Arial" w:hAnsi="Arial"/>
          <w:b/>
          <w:sz w:val="22"/>
          <w:szCs w:val="22"/>
        </w:rPr>
        <w:t xml:space="preserve">-pilote déploie toute sa puissance, même dans l’acier inoxydable et la fonte. Il permet ainsi d’atteindre une durée de vie jusqu’à trois fois supérieure à celle des concurrents actuels. </w:t>
      </w:r>
      <w:bookmarkStart w:id="0" w:name="_Hlk44327513"/>
      <w:r w:rsidRPr="0098416D">
        <w:rPr>
          <w:rFonts w:ascii="Arial" w:hAnsi="Arial"/>
          <w:b/>
          <w:sz w:val="22"/>
          <w:szCs w:val="22"/>
        </w:rPr>
        <w:t xml:space="preserve">Le foret GARANT Master Steel DEEP convient ainsi essentiellement à l’usinage de pièces de haute qualité nécessitant une sécurité de processus maximale. Le nouveau </w:t>
      </w:r>
      <w:r w:rsidRPr="00EC63E6">
        <w:rPr>
          <w:rFonts w:ascii="Arial" w:hAnsi="Arial"/>
          <w:b/>
          <w:color w:val="000000" w:themeColor="text1"/>
          <w:sz w:val="22"/>
          <w:szCs w:val="22"/>
        </w:rPr>
        <w:t xml:space="preserve">foret long </w:t>
      </w:r>
      <w:r w:rsidRPr="00EC63E6">
        <w:rPr>
          <w:rFonts w:ascii="Arial" w:hAnsi="Arial"/>
          <w:b/>
          <w:bCs/>
          <w:color w:val="000000" w:themeColor="text1"/>
          <w:sz w:val="22"/>
          <w:szCs w:val="22"/>
        </w:rPr>
        <w:t xml:space="preserve">est </w:t>
      </w:r>
      <w:r>
        <w:rPr>
          <w:rFonts w:ascii="Arial" w:hAnsi="Arial"/>
          <w:b/>
          <w:bCs/>
          <w:color w:val="000000" w:themeColor="text1"/>
          <w:sz w:val="22"/>
          <w:szCs w:val="22"/>
        </w:rPr>
        <w:t>disponible</w:t>
      </w:r>
      <w:r w:rsidRPr="00EC63E6">
        <w:rPr>
          <w:rFonts w:ascii="Arial" w:hAnsi="Arial"/>
          <w:b/>
          <w:bCs/>
          <w:color w:val="000000" w:themeColor="text1"/>
          <w:sz w:val="22"/>
          <w:szCs w:val="22"/>
        </w:rPr>
        <w:t xml:space="preserve"> </w:t>
      </w:r>
      <w:r w:rsidRPr="009E7128">
        <w:rPr>
          <w:rFonts w:ascii="Arial" w:hAnsi="Arial"/>
          <w:b/>
          <w:bCs/>
          <w:sz w:val="22"/>
          <w:szCs w:val="22"/>
        </w:rPr>
        <w:t xml:space="preserve">depuis le </w:t>
      </w:r>
      <w:r w:rsidRPr="0098416D">
        <w:rPr>
          <w:rFonts w:ascii="Arial" w:hAnsi="Arial"/>
          <w:b/>
          <w:bCs/>
          <w:sz w:val="22"/>
          <w:szCs w:val="22"/>
        </w:rPr>
        <w:t>1</w:t>
      </w:r>
      <w:r w:rsidRPr="00C66014">
        <w:rPr>
          <w:rFonts w:ascii="Arial" w:hAnsi="Arial"/>
          <w:b/>
          <w:bCs/>
          <w:sz w:val="22"/>
          <w:szCs w:val="22"/>
          <w:vertAlign w:val="superscript"/>
        </w:rPr>
        <w:t>er</w:t>
      </w:r>
      <w:bookmarkStart w:id="1" w:name="_GoBack"/>
      <w:bookmarkEnd w:id="1"/>
      <w:r>
        <w:rPr>
          <w:rFonts w:ascii="Arial" w:hAnsi="Arial"/>
          <w:b/>
          <w:bCs/>
          <w:sz w:val="22"/>
          <w:szCs w:val="22"/>
        </w:rPr>
        <w:t xml:space="preserve"> </w:t>
      </w:r>
      <w:r w:rsidRPr="0098416D">
        <w:rPr>
          <w:rFonts w:ascii="Arial" w:hAnsi="Arial"/>
          <w:b/>
          <w:bCs/>
          <w:sz w:val="22"/>
          <w:szCs w:val="22"/>
        </w:rPr>
        <w:t xml:space="preserve">août 2020 dans l’eShop </w:t>
      </w:r>
      <w:hyperlink r:id="rId5" w:history="1">
        <w:r w:rsidRPr="0098416D">
          <w:rPr>
            <w:rFonts w:ascii="Arial" w:hAnsi="Arial"/>
            <w:b/>
            <w:sz w:val="22"/>
            <w:szCs w:val="22"/>
          </w:rPr>
          <w:t>www.hoffmann</w:t>
        </w:r>
      </w:hyperlink>
      <w:r w:rsidRPr="0098416D">
        <w:rPr>
          <w:rFonts w:ascii="Arial" w:hAnsi="Arial"/>
          <w:b/>
          <w:bCs/>
          <w:sz w:val="22"/>
          <w:szCs w:val="22"/>
        </w:rPr>
        <w:t>-group.com et via le catalogue 2020/2021 Hoffmann Group.</w:t>
      </w:r>
      <w:bookmarkEnd w:id="0"/>
    </w:p>
    <w:p w:rsidR="003C3C20" w:rsidRPr="0098416D" w:rsidRDefault="003C3C20" w:rsidP="003C3C20">
      <w:pPr>
        <w:autoSpaceDE w:val="0"/>
        <w:autoSpaceDN w:val="0"/>
        <w:adjustRightInd w:val="0"/>
        <w:spacing w:line="360" w:lineRule="auto"/>
        <w:rPr>
          <w:rFonts w:ascii="Arial" w:eastAsiaTheme="minorEastAsia" w:hAnsi="Arial" w:cs="Arial"/>
          <w:b/>
          <w:sz w:val="22"/>
          <w:szCs w:val="22"/>
        </w:rPr>
      </w:pPr>
    </w:p>
    <w:p w:rsidR="003C3C20" w:rsidRPr="0098416D" w:rsidRDefault="003C3C20" w:rsidP="003C3C20">
      <w:pPr>
        <w:autoSpaceDE w:val="0"/>
        <w:autoSpaceDN w:val="0"/>
        <w:adjustRightInd w:val="0"/>
        <w:spacing w:line="360" w:lineRule="auto"/>
        <w:jc w:val="both"/>
        <w:rPr>
          <w:rFonts w:ascii="Arial" w:hAnsi="Arial" w:cs="Arial"/>
          <w:bCs/>
          <w:sz w:val="22"/>
          <w:szCs w:val="22"/>
        </w:rPr>
      </w:pPr>
      <w:r w:rsidRPr="0098416D">
        <w:rPr>
          <w:rFonts w:ascii="Arial" w:hAnsi="Arial"/>
          <w:sz w:val="22"/>
          <w:szCs w:val="22"/>
        </w:rPr>
        <w:t xml:space="preserve">Lors de tests internes, le nouveau foret GARANT Master Steel DEEP a atteint des valeurs étonnantes par rapport à son prédécesseur ainsi qu’aux produits concurrents : un volume de copeaux jusqu’à 30 % plus élevé, une sécurité de processus jusqu’à 70 % supérieure et une durée de vie trois fois plus longue. Ces performances exceptionnelles sont le fruit de la conception particulièrement ingénieuse de l’outil : </w:t>
      </w:r>
      <w:r w:rsidRPr="0098416D">
        <w:rPr>
          <w:rFonts w:ascii="Arial" w:hAnsi="Arial"/>
          <w:bCs/>
          <w:sz w:val="22"/>
          <w:szCs w:val="22"/>
        </w:rPr>
        <w:t xml:space="preserve">les arêtes principales droites réduisent les efforts de coupe, la géométrie de pointe optimisée assure un bris de copeaux optimal et une conception spéciale de l’arrosage et du guidage de foret offrent des avantages uniques. La conception hélicoïdale de l’arrosage </w:t>
      </w:r>
      <w:r w:rsidRPr="00EC63E6">
        <w:rPr>
          <w:rFonts w:ascii="Arial" w:hAnsi="Arial"/>
          <w:bCs/>
          <w:color w:val="000000" w:themeColor="text1"/>
          <w:sz w:val="22"/>
          <w:szCs w:val="22"/>
        </w:rPr>
        <w:t xml:space="preserve">interne uniquement </w:t>
      </w:r>
      <w:r w:rsidRPr="0098416D">
        <w:rPr>
          <w:rFonts w:ascii="Arial" w:hAnsi="Arial"/>
          <w:bCs/>
          <w:sz w:val="22"/>
          <w:szCs w:val="22"/>
        </w:rPr>
        <w:t xml:space="preserve">dans la zone de la tête permet un pas d’hélice différentiel des goujures sur le reste du corps de foret avec un </w:t>
      </w:r>
      <w:r w:rsidRPr="0098416D">
        <w:rPr>
          <w:rFonts w:ascii="Arial" w:hAnsi="Arial"/>
          <w:sz w:val="22"/>
          <w:szCs w:val="22"/>
        </w:rPr>
        <w:t>angle d’hélice adaptatif de 15 à 30°</w:t>
      </w:r>
      <w:r w:rsidRPr="0098416D">
        <w:rPr>
          <w:rFonts w:ascii="Arial" w:hAnsi="Arial"/>
          <w:bCs/>
          <w:sz w:val="22"/>
          <w:szCs w:val="22"/>
        </w:rPr>
        <w:t xml:space="preserve">. Il en résulte une évacuation ultra-rapide des copeaux hors de l’alésage et une sécurité de processus accrue pour des valeurs de </w:t>
      </w:r>
      <w:r w:rsidRPr="0098416D">
        <w:rPr>
          <w:rFonts w:ascii="Arial" w:hAnsi="Arial"/>
          <w:bCs/>
          <w:sz w:val="22"/>
          <w:szCs w:val="22"/>
        </w:rPr>
        <w:lastRenderedPageBreak/>
        <w:t xml:space="preserve">coupe supérieures. Un guidage de foret breveté </w:t>
      </w:r>
      <w:r w:rsidRPr="00EC63E6">
        <w:rPr>
          <w:rFonts w:ascii="Arial" w:hAnsi="Arial"/>
          <w:bCs/>
          <w:color w:val="000000" w:themeColor="text1"/>
          <w:sz w:val="22"/>
          <w:szCs w:val="22"/>
        </w:rPr>
        <w:t xml:space="preserve">composé </w:t>
      </w:r>
      <w:r w:rsidRPr="00EC63E6">
        <w:rPr>
          <w:rFonts w:ascii="Arial" w:hAnsi="Arial"/>
          <w:color w:val="000000" w:themeColor="text1"/>
          <w:sz w:val="22"/>
          <w:szCs w:val="22"/>
        </w:rPr>
        <w:t xml:space="preserve">de </w:t>
      </w:r>
      <w:r w:rsidRPr="0098416D">
        <w:rPr>
          <w:rFonts w:ascii="Arial" w:hAnsi="Arial"/>
          <w:sz w:val="22"/>
          <w:szCs w:val="22"/>
        </w:rPr>
        <w:t>listel et de bagues de guidage réduit les vibrations et permet une qualité de perçage optimale. Grâce aux bagues de guidage, le lubrifiant permet un arrosage ciblé sur la</w:t>
      </w:r>
      <w:r w:rsidRPr="0098416D">
        <w:rPr>
          <w:rFonts w:ascii="Arial" w:hAnsi="Arial"/>
          <w:bCs/>
          <w:sz w:val="22"/>
          <w:szCs w:val="22"/>
        </w:rPr>
        <w:t xml:space="preserve"> pointe du </w:t>
      </w:r>
      <w:proofErr w:type="spellStart"/>
      <w:r w:rsidRPr="0098416D">
        <w:rPr>
          <w:rFonts w:ascii="Arial" w:hAnsi="Arial"/>
          <w:bCs/>
          <w:sz w:val="22"/>
          <w:szCs w:val="22"/>
        </w:rPr>
        <w:t>foret</w:t>
      </w:r>
      <w:proofErr w:type="spellEnd"/>
      <w:r w:rsidRPr="0098416D">
        <w:rPr>
          <w:rFonts w:ascii="Arial" w:hAnsi="Arial"/>
          <w:bCs/>
          <w:sz w:val="22"/>
          <w:szCs w:val="22"/>
        </w:rPr>
        <w:t xml:space="preserve"> et empêche toute surchauffe de la zone d’usinage. </w:t>
      </w:r>
      <w:r w:rsidRPr="0098416D">
        <w:rPr>
          <w:rFonts w:ascii="Arial" w:hAnsi="Arial"/>
          <w:sz w:val="22"/>
          <w:szCs w:val="22"/>
        </w:rPr>
        <w:t>En outre, l’évacuation des copeaux est optimisée grâce au</w:t>
      </w:r>
      <w:r w:rsidRPr="0098416D">
        <w:rPr>
          <w:rFonts w:ascii="Arial" w:hAnsi="Arial"/>
          <w:bCs/>
          <w:sz w:val="22"/>
          <w:szCs w:val="22"/>
        </w:rPr>
        <w:t xml:space="preserve"> revêtement de la tête et </w:t>
      </w:r>
      <w:r w:rsidRPr="0098416D">
        <w:rPr>
          <w:rFonts w:ascii="Arial" w:hAnsi="Arial"/>
          <w:sz w:val="22"/>
          <w:szCs w:val="22"/>
        </w:rPr>
        <w:t>aux goujures polies.</w:t>
      </w:r>
    </w:p>
    <w:p w:rsidR="003C3C20" w:rsidRPr="0098416D" w:rsidRDefault="003C3C20" w:rsidP="003C3C20">
      <w:pPr>
        <w:autoSpaceDE w:val="0"/>
        <w:autoSpaceDN w:val="0"/>
        <w:adjustRightInd w:val="0"/>
        <w:spacing w:line="360" w:lineRule="auto"/>
        <w:rPr>
          <w:rFonts w:ascii="Arial" w:eastAsiaTheme="minorEastAsia" w:hAnsi="Arial" w:cs="Arial"/>
          <w:sz w:val="22"/>
          <w:szCs w:val="22"/>
        </w:rPr>
      </w:pPr>
    </w:p>
    <w:p w:rsidR="003C3C20" w:rsidRPr="0098416D" w:rsidRDefault="003C3C20" w:rsidP="003C3C20">
      <w:pPr>
        <w:autoSpaceDE w:val="0"/>
        <w:autoSpaceDN w:val="0"/>
        <w:adjustRightInd w:val="0"/>
        <w:spacing w:line="360" w:lineRule="auto"/>
        <w:jc w:val="both"/>
        <w:rPr>
          <w:rFonts w:ascii="Arial" w:eastAsiaTheme="minorEastAsia" w:hAnsi="Arial" w:cs="Arial"/>
          <w:sz w:val="22"/>
          <w:szCs w:val="22"/>
        </w:rPr>
      </w:pPr>
      <w:r w:rsidRPr="0098416D">
        <w:rPr>
          <w:rFonts w:ascii="Arial" w:hAnsi="Arial"/>
          <w:sz w:val="22"/>
          <w:szCs w:val="22"/>
        </w:rPr>
        <w:t>Le foret GARANT Master Steel DEEP définit également de nouvelles normes en matière de durée de vie et d’usure de l’outil. Il doit sa stabilité et sa longévité exceptionnelles à</w:t>
      </w:r>
      <w:r w:rsidRPr="0098416D">
        <w:rPr>
          <w:rFonts w:ascii="Arial" w:hAnsi="Arial"/>
          <w:bCs/>
          <w:sz w:val="22"/>
          <w:szCs w:val="22"/>
        </w:rPr>
        <w:t xml:space="preserve"> une âme renforcée basée sur un substrat en </w:t>
      </w:r>
      <w:r w:rsidRPr="0098416D">
        <w:rPr>
          <w:rFonts w:ascii="Arial" w:hAnsi="Arial"/>
          <w:sz w:val="22"/>
          <w:szCs w:val="22"/>
        </w:rPr>
        <w:t xml:space="preserve">carbure fritté (procédé breveté) ainsi qu’à un revêtement multicouche </w:t>
      </w:r>
      <w:proofErr w:type="spellStart"/>
      <w:r w:rsidRPr="0098416D">
        <w:rPr>
          <w:rFonts w:ascii="Arial" w:hAnsi="Arial"/>
          <w:sz w:val="22"/>
          <w:szCs w:val="22"/>
        </w:rPr>
        <w:t>TiAlN</w:t>
      </w:r>
      <w:proofErr w:type="spellEnd"/>
      <w:r w:rsidRPr="0098416D">
        <w:rPr>
          <w:rFonts w:ascii="Arial" w:hAnsi="Arial"/>
          <w:sz w:val="22"/>
          <w:szCs w:val="22"/>
        </w:rPr>
        <w:t xml:space="preserve"> extrêmement résistant à l’usure et à la chaleur. Grâce au revêtement de la tête, l’outil peut être réaffûté jusqu’à quatre fois dans sa qualité d’origine. </w:t>
      </w:r>
    </w:p>
    <w:p w:rsidR="003C3C20" w:rsidRPr="0098416D" w:rsidRDefault="003C3C20" w:rsidP="003C3C20">
      <w:pPr>
        <w:autoSpaceDE w:val="0"/>
        <w:autoSpaceDN w:val="0"/>
        <w:adjustRightInd w:val="0"/>
        <w:spacing w:line="360" w:lineRule="auto"/>
        <w:ind w:right="-284"/>
        <w:rPr>
          <w:rFonts w:ascii="Arial" w:eastAsiaTheme="minorEastAsia" w:hAnsi="Arial" w:cs="Arial"/>
          <w:sz w:val="22"/>
          <w:szCs w:val="22"/>
        </w:rPr>
      </w:pPr>
    </w:p>
    <w:p w:rsidR="003C3C20" w:rsidRPr="0098416D" w:rsidRDefault="003C3C20" w:rsidP="003C3C20">
      <w:pPr>
        <w:autoSpaceDE w:val="0"/>
        <w:autoSpaceDN w:val="0"/>
        <w:adjustRightInd w:val="0"/>
        <w:spacing w:line="360" w:lineRule="auto"/>
        <w:jc w:val="both"/>
        <w:rPr>
          <w:rFonts w:ascii="Arial" w:eastAsiaTheme="minorEastAsia" w:hAnsi="Arial" w:cs="Arial"/>
          <w:sz w:val="22"/>
          <w:szCs w:val="22"/>
        </w:rPr>
      </w:pPr>
      <w:r w:rsidRPr="0098416D">
        <w:rPr>
          <w:rFonts w:ascii="Arial" w:hAnsi="Arial"/>
          <w:sz w:val="22"/>
          <w:szCs w:val="22"/>
        </w:rPr>
        <w:t xml:space="preserve">La gamme de produits « GARANT Master » a été lancée par Hoffmann Group en 2015 afin d’améliorer la productivité de l’usinage hautes performances avec des outils particulièrement performants et fiables. Depuis, la gamme de produits s’est constamment élargie et offre des outils hautes performances ultra-modernes pour diverses applications d’usinage. </w:t>
      </w:r>
    </w:p>
    <w:p w:rsidR="003C3C20" w:rsidRPr="0098416D" w:rsidRDefault="003C3C20" w:rsidP="003C3C20">
      <w:pPr>
        <w:autoSpaceDE w:val="0"/>
        <w:autoSpaceDN w:val="0"/>
        <w:adjustRightInd w:val="0"/>
        <w:spacing w:line="360" w:lineRule="auto"/>
        <w:rPr>
          <w:rFonts w:ascii="Arial" w:eastAsiaTheme="minorEastAsia"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943"/>
      </w:tblGrid>
      <w:tr w:rsidR="003C3C20" w:rsidRPr="0098416D" w:rsidTr="00C66014">
        <w:tc>
          <w:tcPr>
            <w:tcW w:w="2268" w:type="dxa"/>
          </w:tcPr>
          <w:p w:rsidR="003C3C20" w:rsidRPr="0098416D" w:rsidRDefault="003C3C20" w:rsidP="00C66014">
            <w:pPr>
              <w:autoSpaceDE w:val="0"/>
              <w:autoSpaceDN w:val="0"/>
              <w:adjustRightInd w:val="0"/>
              <w:spacing w:line="360" w:lineRule="auto"/>
              <w:rPr>
                <w:b/>
                <w:noProof/>
              </w:rPr>
            </w:pPr>
            <w:r w:rsidRPr="0098416D">
              <w:rPr>
                <w:noProof/>
                <w:lang w:eastAsia="zh-CN"/>
              </w:rPr>
              <w:drawing>
                <wp:inline distT="0" distB="0" distL="0" distR="0" wp14:anchorId="06338FC0" wp14:editId="031E6590">
                  <wp:extent cx="1282700" cy="88099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0564" cy="886398"/>
                          </a:xfrm>
                          <a:prstGeom prst="rect">
                            <a:avLst/>
                          </a:prstGeom>
                        </pic:spPr>
                      </pic:pic>
                    </a:graphicData>
                  </a:graphic>
                </wp:inline>
              </w:drawing>
            </w:r>
          </w:p>
        </w:tc>
        <w:tc>
          <w:tcPr>
            <w:tcW w:w="5943" w:type="dxa"/>
          </w:tcPr>
          <w:p w:rsidR="003C3C20" w:rsidRPr="0098416D" w:rsidRDefault="003C3C20" w:rsidP="00C66014">
            <w:pPr>
              <w:suppressAutoHyphens/>
              <w:spacing w:line="360" w:lineRule="auto"/>
              <w:rPr>
                <w:rFonts w:ascii="Arial" w:hAnsi="Arial" w:cs="Arial"/>
                <w:b/>
                <w:bCs/>
                <w:sz w:val="22"/>
                <w:szCs w:val="22"/>
              </w:rPr>
            </w:pPr>
            <w:r w:rsidRPr="0098416D">
              <w:rPr>
                <w:rFonts w:ascii="Arial" w:hAnsi="Arial"/>
                <w:b/>
                <w:bCs/>
                <w:sz w:val="22"/>
                <w:szCs w:val="22"/>
              </w:rPr>
              <w:t xml:space="preserve">Légende : </w:t>
            </w:r>
            <w:r w:rsidRPr="0098416D">
              <w:rPr>
                <w:rFonts w:ascii="Arial" w:hAnsi="Arial"/>
                <w:bCs/>
                <w:sz w:val="22"/>
                <w:szCs w:val="22"/>
              </w:rPr>
              <w:t xml:space="preserve">Le foret long GARANT Master Steel DEEP fait office de précurseur pour un perçage profond </w:t>
            </w:r>
            <w:r w:rsidRPr="0098416D">
              <w:rPr>
                <w:rFonts w:ascii="Arial" w:hAnsi="Arial"/>
                <w:sz w:val="22"/>
                <w:szCs w:val="22"/>
              </w:rPr>
              <w:t>en toute sécurité de la toute dernière génération.</w:t>
            </w:r>
          </w:p>
        </w:tc>
      </w:tr>
      <w:tr w:rsidR="003C3C20" w:rsidRPr="0098416D" w:rsidTr="00C66014">
        <w:tc>
          <w:tcPr>
            <w:tcW w:w="2268" w:type="dxa"/>
          </w:tcPr>
          <w:p w:rsidR="003C3C20" w:rsidRPr="0098416D" w:rsidRDefault="003C3C20" w:rsidP="00C66014">
            <w:pPr>
              <w:autoSpaceDE w:val="0"/>
              <w:autoSpaceDN w:val="0"/>
              <w:adjustRightInd w:val="0"/>
              <w:spacing w:line="360" w:lineRule="auto"/>
              <w:rPr>
                <w:rFonts w:ascii="Arial" w:eastAsiaTheme="minorEastAsia" w:hAnsi="Arial" w:cs="Arial"/>
                <w:sz w:val="22"/>
                <w:szCs w:val="22"/>
              </w:rPr>
            </w:pPr>
            <w:r w:rsidRPr="0098416D">
              <w:rPr>
                <w:noProof/>
                <w:lang w:eastAsia="zh-CN"/>
              </w:rPr>
              <w:drawing>
                <wp:inline distT="0" distB="0" distL="0" distR="0" wp14:anchorId="402AEA41" wp14:editId="49698825">
                  <wp:extent cx="1282700" cy="336242"/>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8535" cy="340393"/>
                          </a:xfrm>
                          <a:prstGeom prst="rect">
                            <a:avLst/>
                          </a:prstGeom>
                        </pic:spPr>
                      </pic:pic>
                    </a:graphicData>
                  </a:graphic>
                </wp:inline>
              </w:drawing>
            </w:r>
          </w:p>
        </w:tc>
        <w:tc>
          <w:tcPr>
            <w:tcW w:w="5943" w:type="dxa"/>
          </w:tcPr>
          <w:p w:rsidR="003C3C20" w:rsidRPr="0098416D" w:rsidRDefault="003C3C20" w:rsidP="00C66014">
            <w:pPr>
              <w:suppressAutoHyphens/>
              <w:spacing w:line="360" w:lineRule="auto"/>
              <w:rPr>
                <w:rFonts w:ascii="Arial" w:eastAsiaTheme="minorEastAsia" w:hAnsi="Arial" w:cs="Arial"/>
                <w:sz w:val="22"/>
                <w:szCs w:val="22"/>
              </w:rPr>
            </w:pPr>
            <w:r w:rsidRPr="0098416D">
              <w:rPr>
                <w:rFonts w:ascii="Arial" w:hAnsi="Arial"/>
                <w:b/>
                <w:bCs/>
                <w:sz w:val="22"/>
                <w:szCs w:val="22"/>
              </w:rPr>
              <w:t xml:space="preserve">Légende : </w:t>
            </w:r>
            <w:r w:rsidRPr="0098416D">
              <w:rPr>
                <w:rFonts w:ascii="Arial" w:hAnsi="Arial"/>
                <w:bCs/>
                <w:sz w:val="22"/>
                <w:szCs w:val="22"/>
              </w:rPr>
              <w:t xml:space="preserve">Le foret GARANT Master Steel DEEP combine les avantages d’un arrosage interne central et hélicoïdal. </w:t>
            </w:r>
          </w:p>
        </w:tc>
      </w:tr>
    </w:tbl>
    <w:p w:rsidR="003C3C20" w:rsidRDefault="003C3C20" w:rsidP="003C3C20">
      <w:pPr>
        <w:rPr>
          <w:rFonts w:ascii="Arial" w:hAnsi="Arial" w:cs="Arial"/>
          <w:b/>
          <w:bCs/>
          <w:sz w:val="20"/>
          <w:szCs w:val="20"/>
        </w:rPr>
      </w:pPr>
    </w:p>
    <w:p w:rsidR="003C3C20" w:rsidRDefault="003C3C20" w:rsidP="003C3C20">
      <w:pPr>
        <w:spacing w:after="240"/>
        <w:rPr>
          <w:rFonts w:ascii="Arial" w:hAnsi="Arial" w:cs="Arial"/>
          <w:b/>
          <w:bCs/>
          <w:color w:val="ED7D31"/>
        </w:rPr>
      </w:pPr>
    </w:p>
    <w:p w:rsidR="003C3C20" w:rsidRDefault="003C3C20" w:rsidP="003C3C20">
      <w:pPr>
        <w:spacing w:after="240"/>
        <w:rPr>
          <w:rFonts w:ascii="Arial" w:hAnsi="Arial" w:cs="Arial"/>
          <w:b/>
          <w:bCs/>
          <w:color w:val="ED7D31"/>
        </w:rPr>
      </w:pPr>
      <w:r>
        <w:rPr>
          <w:rFonts w:ascii="Arial" w:hAnsi="Arial" w:cs="Arial"/>
          <w:b/>
          <w:bCs/>
          <w:color w:val="ED7D31"/>
        </w:rPr>
        <w:t>À propos de Hoffmann Group</w:t>
      </w:r>
    </w:p>
    <w:p w:rsidR="003C3C20" w:rsidRPr="009E7128" w:rsidRDefault="003C3C20" w:rsidP="003C3C20">
      <w:pPr>
        <w:jc w:val="both"/>
        <w:rPr>
          <w:rFonts w:ascii="Arial" w:hAnsi="Arial" w:cs="Arial"/>
          <w:bCs/>
          <w:iCs/>
          <w:sz w:val="22"/>
          <w:szCs w:val="22"/>
        </w:rPr>
      </w:pPr>
      <w:r w:rsidRPr="009E7128">
        <w:rPr>
          <w:rFonts w:ascii="Arial" w:hAnsi="Arial" w:cs="Arial"/>
          <w:sz w:val="22"/>
          <w:szCs w:val="22"/>
        </w:rPr>
        <w:t xml:space="preserve">Premier partenaire système européen dans l’outillage de qualité, la société </w:t>
      </w:r>
      <w:hyperlink r:id="rId8" w:history="1">
        <w:r w:rsidRPr="009E7128">
          <w:rPr>
            <w:rFonts w:ascii="Arial" w:hAnsi="Arial" w:cs="Arial"/>
            <w:color w:val="FF6600"/>
            <w:sz w:val="22"/>
            <w:szCs w:val="22"/>
          </w:rPr>
          <w:t>Hoffmann Group</w:t>
        </w:r>
      </w:hyperlink>
      <w:r w:rsidRPr="009E7128">
        <w:rPr>
          <w:rFonts w:ascii="Arial" w:hAnsi="Arial" w:cs="Arial"/>
          <w:sz w:val="22"/>
          <w:szCs w:val="22"/>
        </w:rPr>
        <w:t xml:space="preserve"> conjugue les compétences de distributeur, de fabricant et de prestataire de services. Cette combinaison garantit à plus de 135 000 clients une sécurité maximale en termes d’approvisionnement, de qualité et de productivité dans le domaine de l’outillage, des équipements d’atelier et des équipements de protection individuelle. Des conseils optimaux et fiables, allant de l’analyse personnalisée des besoins à l’utilisation efficace des produits, sont toujours proposés. Outre les outils d’usinage, de serrage, de mesure, de meulage et de tronçonnage, sa gamme de produits englobe des outils à main, des équipements de protection, des équipements d’atelier </w:t>
      </w:r>
      <w:r w:rsidRPr="009E7128">
        <w:rPr>
          <w:rFonts w:ascii="Arial" w:hAnsi="Arial" w:cs="Arial"/>
          <w:sz w:val="22"/>
          <w:szCs w:val="22"/>
        </w:rPr>
        <w:lastRenderedPageBreak/>
        <w:t xml:space="preserve">et des fournitures industrielles. Au nombre de ses clients figurent de grandes entreprises cotées en bourse, mais aussi de petites et moyennes entreprises dans plus de 50 pays. Aux côtés de sa marque premium </w:t>
      </w:r>
      <w:hyperlink r:id="rId9" w:history="1">
        <w:r w:rsidRPr="009E7128">
          <w:rPr>
            <w:rFonts w:ascii="Arial" w:hAnsi="Arial" w:cs="Arial"/>
            <w:color w:val="FF6600"/>
            <w:sz w:val="22"/>
            <w:szCs w:val="22"/>
          </w:rPr>
          <w:t>GARANT</w:t>
        </w:r>
      </w:hyperlink>
      <w:r w:rsidRPr="009E7128">
        <w:rPr>
          <w:rFonts w:ascii="Arial" w:hAnsi="Arial" w:cs="Arial"/>
          <w:sz w:val="22"/>
          <w:szCs w:val="22"/>
        </w:rPr>
        <w:t xml:space="preserve">, Hoffmann Group propose plus de 90 000 outils de qualité provenant des principaux fabricants mondiaux. Fort d’un service client omniprésent et offrant une qualité de livraison de plus de 99 % certifiée par le TÜV, le spécialiste de l’outillage, dont le siège est basé à Munich, est un partenaire efficace et fiable pour ses clients. </w:t>
      </w:r>
      <w:r w:rsidRPr="009E7128">
        <w:rPr>
          <w:rFonts w:ascii="Arial" w:hAnsi="Arial" w:cs="Arial"/>
          <w:bCs/>
          <w:iCs/>
          <w:sz w:val="22"/>
          <w:szCs w:val="22"/>
        </w:rPr>
        <w:t>Hoffmann Group emploie 4 000 collaborateurs et a dégagé un chiffre d’affaires de près d’1,4 milliard d’euros en 2019.</w:t>
      </w:r>
    </w:p>
    <w:p w:rsidR="003C3C20" w:rsidRPr="009E7128" w:rsidRDefault="003C3C20" w:rsidP="003C3C20">
      <w:pPr>
        <w:jc w:val="both"/>
        <w:rPr>
          <w:rFonts w:ascii="Arial" w:eastAsia="Calibri" w:hAnsi="Arial" w:cs="Arial"/>
          <w:sz w:val="22"/>
          <w:szCs w:val="22"/>
        </w:rPr>
      </w:pPr>
    </w:p>
    <w:p w:rsidR="003C3C20" w:rsidRPr="009E7128" w:rsidRDefault="003C3C20" w:rsidP="003C3C20">
      <w:pPr>
        <w:rPr>
          <w:rFonts w:ascii="Arial" w:hAnsi="Arial" w:cs="Arial"/>
          <w:sz w:val="22"/>
          <w:szCs w:val="22"/>
        </w:rPr>
      </w:pPr>
      <w:r w:rsidRPr="009E7128">
        <w:rPr>
          <w:rFonts w:ascii="Arial" w:hAnsi="Arial" w:cs="Arial"/>
          <w:b/>
          <w:bCs/>
          <w:sz w:val="22"/>
          <w:szCs w:val="22"/>
        </w:rPr>
        <w:t>Pour plus d’informations, visitez le site</w:t>
      </w:r>
      <w:r w:rsidRPr="009E7128">
        <w:rPr>
          <w:rFonts w:ascii="Arial" w:hAnsi="Arial" w:cs="Arial"/>
          <w:b/>
          <w:bCs/>
          <w:color w:val="ED7D31"/>
          <w:sz w:val="22"/>
          <w:szCs w:val="22"/>
        </w:rPr>
        <w:t xml:space="preserve"> </w:t>
      </w:r>
      <w:hyperlink r:id="rId10" w:history="1">
        <w:r w:rsidRPr="009E7128">
          <w:rPr>
            <w:rStyle w:val="Lienhypertexte"/>
            <w:rFonts w:ascii="Arial" w:hAnsi="Arial" w:cs="Arial"/>
            <w:bCs/>
            <w:color w:val="ED7D31"/>
            <w:sz w:val="22"/>
            <w:szCs w:val="22"/>
          </w:rPr>
          <w:t>www.hoffmann-group.com</w:t>
        </w:r>
      </w:hyperlink>
    </w:p>
    <w:p w:rsidR="003C3C20" w:rsidRPr="009E7128" w:rsidRDefault="003C3C20" w:rsidP="003C3C20">
      <w:pPr>
        <w:suppressAutoHyphens/>
        <w:rPr>
          <w:rFonts w:ascii="Arial" w:hAnsi="Arial" w:cs="Arial"/>
          <w:b/>
          <w:sz w:val="22"/>
          <w:szCs w:val="22"/>
        </w:rPr>
      </w:pPr>
    </w:p>
    <w:p w:rsidR="003C3C20" w:rsidRPr="009E7128" w:rsidRDefault="003C3C20" w:rsidP="003C3C20">
      <w:pPr>
        <w:tabs>
          <w:tab w:val="left" w:pos="6237"/>
        </w:tabs>
        <w:jc w:val="both"/>
        <w:rPr>
          <w:rFonts w:ascii="Arial" w:hAnsi="Arial" w:cs="Arial"/>
          <w:b/>
          <w:sz w:val="22"/>
          <w:szCs w:val="22"/>
        </w:rPr>
      </w:pPr>
      <w:r w:rsidRPr="009E7128">
        <w:rPr>
          <w:rFonts w:ascii="Arial" w:hAnsi="Arial" w:cs="Arial"/>
          <w:b/>
          <w:sz w:val="22"/>
          <w:szCs w:val="22"/>
        </w:rPr>
        <w:t>Contact presse</w:t>
      </w:r>
    </w:p>
    <w:p w:rsidR="003C3C20" w:rsidRPr="009E7128" w:rsidRDefault="003C3C20" w:rsidP="003C3C20">
      <w:pPr>
        <w:tabs>
          <w:tab w:val="left" w:pos="6237"/>
        </w:tabs>
        <w:jc w:val="both"/>
        <w:rPr>
          <w:rFonts w:ascii="Arial" w:hAnsi="Arial" w:cs="Arial"/>
          <w:b/>
          <w:sz w:val="22"/>
          <w:szCs w:val="22"/>
        </w:rPr>
      </w:pPr>
      <w:r w:rsidRPr="009E7128">
        <w:rPr>
          <w:rFonts w:ascii="Arial" w:hAnsi="Arial" w:cs="Arial"/>
          <w:b/>
          <w:sz w:val="22"/>
          <w:szCs w:val="22"/>
        </w:rPr>
        <w:t>Hoffmann France SAS</w:t>
      </w:r>
    </w:p>
    <w:p w:rsidR="003C3C20" w:rsidRPr="009E7128" w:rsidRDefault="003C3C20" w:rsidP="003C3C20">
      <w:pPr>
        <w:tabs>
          <w:tab w:val="left" w:pos="6237"/>
        </w:tabs>
        <w:jc w:val="both"/>
        <w:rPr>
          <w:rFonts w:ascii="Arial" w:hAnsi="Arial" w:cs="Arial"/>
          <w:sz w:val="22"/>
          <w:szCs w:val="22"/>
        </w:rPr>
      </w:pPr>
      <w:r w:rsidRPr="009E7128">
        <w:rPr>
          <w:rFonts w:ascii="Arial" w:hAnsi="Arial" w:cs="Arial"/>
          <w:sz w:val="22"/>
          <w:szCs w:val="22"/>
        </w:rPr>
        <w:t>1 rue Gay Lussac</w:t>
      </w:r>
    </w:p>
    <w:p w:rsidR="003C3C20" w:rsidRPr="009E7128" w:rsidRDefault="003C3C20" w:rsidP="003C3C20">
      <w:pPr>
        <w:tabs>
          <w:tab w:val="left" w:pos="6237"/>
        </w:tabs>
        <w:jc w:val="both"/>
        <w:rPr>
          <w:rFonts w:ascii="Arial" w:hAnsi="Arial" w:cs="Arial"/>
          <w:sz w:val="22"/>
          <w:szCs w:val="22"/>
          <w:lang w:val="en-US"/>
        </w:rPr>
      </w:pPr>
      <w:r w:rsidRPr="009E7128">
        <w:rPr>
          <w:rFonts w:ascii="Arial" w:hAnsi="Arial" w:cs="Arial"/>
          <w:sz w:val="22"/>
          <w:szCs w:val="22"/>
          <w:lang w:val="en-US"/>
        </w:rPr>
        <w:t>F+67410 DRUSENHEIM</w:t>
      </w:r>
    </w:p>
    <w:p w:rsidR="003C3C20" w:rsidRPr="009E7128" w:rsidRDefault="003C3C20" w:rsidP="003C3C20">
      <w:pPr>
        <w:tabs>
          <w:tab w:val="left" w:pos="284"/>
          <w:tab w:val="left" w:pos="426"/>
          <w:tab w:val="left" w:pos="6237"/>
        </w:tabs>
        <w:jc w:val="both"/>
        <w:rPr>
          <w:rFonts w:ascii="Arial" w:hAnsi="Arial" w:cs="Arial"/>
          <w:color w:val="FF6600"/>
          <w:sz w:val="22"/>
          <w:szCs w:val="22"/>
          <w:lang w:val="en-US"/>
        </w:rPr>
      </w:pPr>
      <w:hyperlink r:id="rId11" w:history="1">
        <w:r w:rsidRPr="009E7128">
          <w:rPr>
            <w:rStyle w:val="Lienhypertexte"/>
            <w:rFonts w:ascii="Arial" w:hAnsi="Arial" w:cs="Arial"/>
            <w:color w:val="FF6600"/>
            <w:sz w:val="22"/>
            <w:szCs w:val="22"/>
            <w:lang w:val="en-US"/>
          </w:rPr>
          <w:t>www.hoffmann-group.com</w:t>
        </w:r>
      </w:hyperlink>
    </w:p>
    <w:p w:rsidR="003C3C20" w:rsidRPr="009E7128" w:rsidRDefault="003C3C20" w:rsidP="003C3C20">
      <w:pPr>
        <w:jc w:val="both"/>
        <w:rPr>
          <w:rFonts w:ascii="Arial" w:hAnsi="Arial" w:cs="Arial"/>
          <w:sz w:val="22"/>
          <w:szCs w:val="22"/>
          <w:lang w:val="en-US"/>
        </w:rPr>
      </w:pPr>
    </w:p>
    <w:p w:rsidR="003C3C20" w:rsidRPr="009E7128" w:rsidRDefault="003C3C20" w:rsidP="003C3C20">
      <w:pPr>
        <w:jc w:val="both"/>
        <w:rPr>
          <w:rFonts w:ascii="Arial" w:hAnsi="Arial" w:cs="Arial"/>
          <w:sz w:val="22"/>
          <w:szCs w:val="22"/>
          <w:lang w:val="de-DE"/>
        </w:rPr>
      </w:pPr>
      <w:r w:rsidRPr="009E7128">
        <w:rPr>
          <w:rFonts w:ascii="Arial" w:hAnsi="Arial" w:cs="Arial"/>
          <w:sz w:val="22"/>
          <w:szCs w:val="22"/>
          <w:lang w:val="de-DE"/>
        </w:rPr>
        <w:t>Eric SCHEEG</w:t>
      </w:r>
    </w:p>
    <w:p w:rsidR="003C3C20" w:rsidRPr="009E7128" w:rsidRDefault="003C3C20" w:rsidP="003C3C20">
      <w:pPr>
        <w:jc w:val="both"/>
        <w:rPr>
          <w:rFonts w:ascii="Arial" w:hAnsi="Arial" w:cs="Arial"/>
          <w:sz w:val="22"/>
          <w:szCs w:val="22"/>
          <w:lang w:val="en-US"/>
        </w:rPr>
      </w:pPr>
      <w:proofErr w:type="spellStart"/>
      <w:r w:rsidRPr="009E7128">
        <w:rPr>
          <w:rFonts w:ascii="Arial" w:hAnsi="Arial" w:cs="Arial"/>
          <w:sz w:val="22"/>
          <w:szCs w:val="22"/>
          <w:lang w:val="en-US"/>
        </w:rPr>
        <w:t>Tél</w:t>
      </w:r>
      <w:proofErr w:type="spellEnd"/>
      <w:proofErr w:type="gramStart"/>
      <w:r w:rsidRPr="009E7128">
        <w:rPr>
          <w:rFonts w:ascii="Arial" w:hAnsi="Arial" w:cs="Arial"/>
          <w:sz w:val="22"/>
          <w:szCs w:val="22"/>
          <w:lang w:val="en-US"/>
        </w:rPr>
        <w:t>. :</w:t>
      </w:r>
      <w:proofErr w:type="gramEnd"/>
      <w:r w:rsidRPr="009E7128">
        <w:rPr>
          <w:rFonts w:ascii="Arial" w:hAnsi="Arial" w:cs="Arial"/>
          <w:sz w:val="22"/>
          <w:szCs w:val="22"/>
          <w:lang w:val="en-US"/>
        </w:rPr>
        <w:t xml:space="preserve"> +</w:t>
      </w:r>
      <w:r w:rsidRPr="009E7128">
        <w:rPr>
          <w:rStyle w:val="baec5a81-e4d6-4674-97f3-e9220f0136c1"/>
          <w:rFonts w:ascii="Arial" w:hAnsi="Arial" w:cs="Arial"/>
          <w:color w:val="000000"/>
          <w:sz w:val="22"/>
          <w:szCs w:val="22"/>
          <w:lang w:val="en-US"/>
        </w:rPr>
        <w:t xml:space="preserve">33 (0)3 90 55 12 73 </w:t>
      </w:r>
    </w:p>
    <w:p w:rsidR="003C3C20" w:rsidRPr="009E7128" w:rsidRDefault="003C3C20" w:rsidP="003C3C20">
      <w:pPr>
        <w:tabs>
          <w:tab w:val="left" w:pos="284"/>
          <w:tab w:val="left" w:pos="426"/>
          <w:tab w:val="left" w:pos="6237"/>
        </w:tabs>
        <w:jc w:val="both"/>
        <w:rPr>
          <w:rFonts w:ascii="Arial" w:hAnsi="Arial" w:cs="Arial"/>
          <w:b/>
          <w:bCs/>
          <w:sz w:val="22"/>
          <w:szCs w:val="22"/>
          <w:lang w:val="en-US"/>
        </w:rPr>
      </w:pPr>
      <w:proofErr w:type="gramStart"/>
      <w:r w:rsidRPr="009E7128">
        <w:rPr>
          <w:rFonts w:ascii="Arial" w:hAnsi="Arial" w:cs="Arial"/>
          <w:sz w:val="22"/>
          <w:szCs w:val="22"/>
          <w:lang w:val="en-US"/>
        </w:rPr>
        <w:t>E-mail :</w:t>
      </w:r>
      <w:proofErr w:type="gramEnd"/>
      <w:r w:rsidRPr="009E7128">
        <w:rPr>
          <w:rFonts w:ascii="Arial" w:hAnsi="Arial" w:cs="Arial"/>
          <w:sz w:val="22"/>
          <w:szCs w:val="22"/>
          <w:lang w:val="en-US"/>
        </w:rPr>
        <w:t xml:space="preserve"> </w:t>
      </w:r>
      <w:hyperlink r:id="rId12" w:history="1">
        <w:r w:rsidRPr="009E7128">
          <w:rPr>
            <w:rStyle w:val="Lienhypertexte"/>
            <w:rFonts w:ascii="Arial" w:hAnsi="Arial" w:cs="Arial"/>
            <w:sz w:val="22"/>
            <w:szCs w:val="22"/>
            <w:lang w:val="en-US"/>
          </w:rPr>
          <w:t>e.scheeg@hoffmann-group.com</w:t>
        </w:r>
      </w:hyperlink>
    </w:p>
    <w:p w:rsidR="003C3C20" w:rsidRPr="009E7128" w:rsidRDefault="003C3C20" w:rsidP="003C3C20">
      <w:pPr>
        <w:rPr>
          <w:rFonts w:ascii="Arial" w:hAnsi="Arial" w:cs="Arial"/>
          <w:b/>
          <w:bCs/>
          <w:sz w:val="22"/>
          <w:szCs w:val="22"/>
          <w:lang w:val="en-US"/>
        </w:rPr>
      </w:pPr>
    </w:p>
    <w:p w:rsidR="002F457F" w:rsidRPr="003C3C20" w:rsidRDefault="002F457F">
      <w:pPr>
        <w:rPr>
          <w:lang w:val="en-US"/>
        </w:rPr>
      </w:pPr>
    </w:p>
    <w:sectPr w:rsidR="002F457F" w:rsidRPr="003C3C20" w:rsidSect="00A07E6B">
      <w:headerReference w:type="even" r:id="rId13"/>
      <w:headerReference w:type="default" r:id="rId14"/>
      <w:footerReference w:type="even" r:id="rId15"/>
      <w:footerReference w:type="default" r:id="rId16"/>
      <w:headerReference w:type="first" r:id="rId17"/>
      <w:footerReference w:type="first" r:id="rId18"/>
      <w:pgSz w:w="11906" w:h="16838"/>
      <w:pgMar w:top="2380" w:right="2267"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CE" w:rsidRPr="0098416D" w:rsidRDefault="002A1A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CE" w:rsidRPr="0098416D" w:rsidRDefault="002A1A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CE" w:rsidRPr="0098416D" w:rsidRDefault="002A1A14">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CE" w:rsidRPr="0098416D" w:rsidRDefault="002A1A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7C" w:rsidRPr="0098416D" w:rsidRDefault="002A1A14" w:rsidP="008F1AB0">
    <w:pPr>
      <w:pStyle w:val="En-tte"/>
      <w:ind w:right="-992"/>
      <w:jc w:val="right"/>
    </w:pPr>
    <w:r w:rsidRPr="0098416D">
      <w:rPr>
        <w:noProof/>
        <w:lang w:eastAsia="zh-CN"/>
      </w:rPr>
      <w:drawing>
        <wp:anchor distT="0" distB="0" distL="114300" distR="114300" simplePos="0" relativeHeight="251659264" behindDoc="0" locked="0" layoutInCell="1" allowOverlap="1" wp14:anchorId="7BB70620" wp14:editId="3772E0E1">
          <wp:simplePos x="0" y="0"/>
          <wp:positionH relativeFrom="column">
            <wp:posOffset>3755390</wp:posOffset>
          </wp:positionH>
          <wp:positionV relativeFrom="paragraph">
            <wp:posOffset>-635</wp:posOffset>
          </wp:positionV>
          <wp:extent cx="2091690" cy="396875"/>
          <wp:effectExtent l="0" t="0" r="381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Logo_1z_RGB_orange_mitClaim.jpg"/>
                  <pic:cNvPicPr/>
                </pic:nvPicPr>
                <pic:blipFill rotWithShape="1">
                  <a:blip r:embed="rId1">
                    <a:extLst>
                      <a:ext uri="{28A0092B-C50C-407E-A947-70E740481C1C}">
                        <a14:useLocalDpi xmlns:a14="http://schemas.microsoft.com/office/drawing/2010/main" val="0"/>
                      </a:ext>
                    </a:extLst>
                  </a:blip>
                  <a:srcRect b="32135"/>
                  <a:stretch/>
                </pic:blipFill>
                <pic:spPr bwMode="auto">
                  <a:xfrm>
                    <a:off x="0" y="0"/>
                    <a:ext cx="2091690" cy="396875"/>
                  </a:xfrm>
                  <a:prstGeom prst="rect">
                    <a:avLst/>
                  </a:prstGeom>
                  <a:ln>
                    <a:noFill/>
                  </a:ln>
                  <a:extLst>
                    <a:ext uri="{53640926-AAD7-44D8-BBD7-CCE9431645EC}">
                      <a14:shadowObscured xmlns:a14="http://schemas.microsoft.com/office/drawing/2010/main"/>
                    </a:ext>
                  </a:extLst>
                </pic:spPr>
              </pic:pic>
            </a:graphicData>
          </a:graphic>
        </wp:anchor>
      </w:drawing>
    </w:r>
    <w:r w:rsidRPr="0098416D">
      <w:rPr>
        <w:noProof/>
        <w:lang w:eastAsia="zh-CN"/>
      </w:rPr>
      <w:drawing>
        <wp:inline distT="0" distB="0" distL="0" distR="0" wp14:anchorId="4D29D6E7" wp14:editId="59263A7A">
          <wp:extent cx="2091690" cy="397329"/>
          <wp:effectExtent l="0" t="0" r="381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Logo_1z_RGB_orange_mitClaim.jpg"/>
                  <pic:cNvPicPr/>
                </pic:nvPicPr>
                <pic:blipFill rotWithShape="1">
                  <a:blip r:embed="rId1">
                    <a:extLst>
                      <a:ext uri="{28A0092B-C50C-407E-A947-70E740481C1C}">
                        <a14:useLocalDpi xmlns:a14="http://schemas.microsoft.com/office/drawing/2010/main" val="0"/>
                      </a:ext>
                    </a:extLst>
                  </a:blip>
                  <a:srcRect b="32135"/>
                  <a:stretch/>
                </pic:blipFill>
                <pic:spPr bwMode="auto">
                  <a:xfrm>
                    <a:off x="0" y="0"/>
                    <a:ext cx="2091690" cy="39732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BCE" w:rsidRPr="0098416D" w:rsidRDefault="002A1A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20"/>
    <w:rsid w:val="00001C90"/>
    <w:rsid w:val="00020F75"/>
    <w:rsid w:val="00026FA8"/>
    <w:rsid w:val="0004156A"/>
    <w:rsid w:val="0004355F"/>
    <w:rsid w:val="0004403A"/>
    <w:rsid w:val="0005713F"/>
    <w:rsid w:val="00063CE9"/>
    <w:rsid w:val="00083085"/>
    <w:rsid w:val="000A6D1F"/>
    <w:rsid w:val="000B025A"/>
    <w:rsid w:val="000E23ED"/>
    <w:rsid w:val="000F0AEF"/>
    <w:rsid w:val="0011530B"/>
    <w:rsid w:val="00136AF3"/>
    <w:rsid w:val="00140A37"/>
    <w:rsid w:val="00170C66"/>
    <w:rsid w:val="00181B3E"/>
    <w:rsid w:val="00193DFC"/>
    <w:rsid w:val="001A2C0A"/>
    <w:rsid w:val="0020232E"/>
    <w:rsid w:val="00204808"/>
    <w:rsid w:val="002104CA"/>
    <w:rsid w:val="002722D3"/>
    <w:rsid w:val="00283B69"/>
    <w:rsid w:val="00295587"/>
    <w:rsid w:val="00295F93"/>
    <w:rsid w:val="002A6C04"/>
    <w:rsid w:val="002B2988"/>
    <w:rsid w:val="002B3657"/>
    <w:rsid w:val="002F457F"/>
    <w:rsid w:val="003135FF"/>
    <w:rsid w:val="003266CC"/>
    <w:rsid w:val="00330C30"/>
    <w:rsid w:val="00341F1C"/>
    <w:rsid w:val="00362E17"/>
    <w:rsid w:val="00373C08"/>
    <w:rsid w:val="003819CF"/>
    <w:rsid w:val="00384F08"/>
    <w:rsid w:val="00387DE4"/>
    <w:rsid w:val="003B2B1C"/>
    <w:rsid w:val="003B3B57"/>
    <w:rsid w:val="003C1C93"/>
    <w:rsid w:val="003C3C20"/>
    <w:rsid w:val="003D0D96"/>
    <w:rsid w:val="003D7DBA"/>
    <w:rsid w:val="003F6FFC"/>
    <w:rsid w:val="003F7328"/>
    <w:rsid w:val="00420D7C"/>
    <w:rsid w:val="00423D53"/>
    <w:rsid w:val="00436B30"/>
    <w:rsid w:val="00486833"/>
    <w:rsid w:val="00492286"/>
    <w:rsid w:val="004A15A8"/>
    <w:rsid w:val="004B38B3"/>
    <w:rsid w:val="004C41EA"/>
    <w:rsid w:val="004E4057"/>
    <w:rsid w:val="004E6FC9"/>
    <w:rsid w:val="005048BF"/>
    <w:rsid w:val="005119B2"/>
    <w:rsid w:val="00526364"/>
    <w:rsid w:val="00527D67"/>
    <w:rsid w:val="005459FA"/>
    <w:rsid w:val="00591B77"/>
    <w:rsid w:val="005E6FE6"/>
    <w:rsid w:val="00617023"/>
    <w:rsid w:val="0062777B"/>
    <w:rsid w:val="00652639"/>
    <w:rsid w:val="006C6D89"/>
    <w:rsid w:val="006C6EB0"/>
    <w:rsid w:val="007170B7"/>
    <w:rsid w:val="00746086"/>
    <w:rsid w:val="00764D5E"/>
    <w:rsid w:val="00765D4C"/>
    <w:rsid w:val="00770335"/>
    <w:rsid w:val="00787C73"/>
    <w:rsid w:val="00796497"/>
    <w:rsid w:val="007E0B58"/>
    <w:rsid w:val="0080738A"/>
    <w:rsid w:val="00822082"/>
    <w:rsid w:val="00864997"/>
    <w:rsid w:val="00875222"/>
    <w:rsid w:val="008D3AA2"/>
    <w:rsid w:val="008E31C6"/>
    <w:rsid w:val="008F0181"/>
    <w:rsid w:val="008F0B08"/>
    <w:rsid w:val="008F508F"/>
    <w:rsid w:val="009A419F"/>
    <w:rsid w:val="009D3D3E"/>
    <w:rsid w:val="009E7128"/>
    <w:rsid w:val="00A5722C"/>
    <w:rsid w:val="00A91101"/>
    <w:rsid w:val="00A927DE"/>
    <w:rsid w:val="00A96513"/>
    <w:rsid w:val="00AB7291"/>
    <w:rsid w:val="00AF0D50"/>
    <w:rsid w:val="00B240A6"/>
    <w:rsid w:val="00B2478C"/>
    <w:rsid w:val="00B25AA5"/>
    <w:rsid w:val="00B27F95"/>
    <w:rsid w:val="00B45D24"/>
    <w:rsid w:val="00B659D2"/>
    <w:rsid w:val="00B7263C"/>
    <w:rsid w:val="00B90F7F"/>
    <w:rsid w:val="00B92E78"/>
    <w:rsid w:val="00B938E5"/>
    <w:rsid w:val="00BC4D14"/>
    <w:rsid w:val="00BD3ABD"/>
    <w:rsid w:val="00BD65A1"/>
    <w:rsid w:val="00BD7BE4"/>
    <w:rsid w:val="00C230B0"/>
    <w:rsid w:val="00C66A96"/>
    <w:rsid w:val="00C91C40"/>
    <w:rsid w:val="00CB6789"/>
    <w:rsid w:val="00D05D49"/>
    <w:rsid w:val="00D148A2"/>
    <w:rsid w:val="00D32726"/>
    <w:rsid w:val="00D6212C"/>
    <w:rsid w:val="00D6271A"/>
    <w:rsid w:val="00D71366"/>
    <w:rsid w:val="00DA3B4D"/>
    <w:rsid w:val="00DB79C3"/>
    <w:rsid w:val="00E02DA7"/>
    <w:rsid w:val="00E129F7"/>
    <w:rsid w:val="00E141E6"/>
    <w:rsid w:val="00E41731"/>
    <w:rsid w:val="00E45BC6"/>
    <w:rsid w:val="00E46836"/>
    <w:rsid w:val="00E70FFF"/>
    <w:rsid w:val="00E75B11"/>
    <w:rsid w:val="00E83EF2"/>
    <w:rsid w:val="00E915E1"/>
    <w:rsid w:val="00EA3F90"/>
    <w:rsid w:val="00EC756A"/>
    <w:rsid w:val="00F050A6"/>
    <w:rsid w:val="00F420B1"/>
    <w:rsid w:val="00F442B2"/>
    <w:rsid w:val="00F44C41"/>
    <w:rsid w:val="00F908CE"/>
    <w:rsid w:val="00F90F36"/>
    <w:rsid w:val="00FB2195"/>
    <w:rsid w:val="00FC45F6"/>
    <w:rsid w:val="00FD2771"/>
    <w:rsid w:val="00FE2B9B"/>
    <w:rsid w:val="00FE4C07"/>
    <w:rsid w:val="00FF0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A160"/>
  <w15:chartTrackingRefBased/>
  <w15:docId w15:val="{7CE0FCB3-D1BD-4E69-AF25-35FBE170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C20"/>
    <w:pPr>
      <w:spacing w:after="0" w:line="240" w:lineRule="auto"/>
    </w:pPr>
    <w:rPr>
      <w:rFonts w:ascii="Times New Roman" w:eastAsia="Times New Roman" w:hAnsi="Times New Roman" w:cs="Times New Roman"/>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C3C20"/>
    <w:rPr>
      <w:rFonts w:cs="Times New Roman"/>
      <w:color w:val="0000FF"/>
      <w:u w:val="single"/>
    </w:rPr>
  </w:style>
  <w:style w:type="paragraph" w:styleId="En-tte">
    <w:name w:val="header"/>
    <w:basedOn w:val="Normal"/>
    <w:link w:val="En-tteCar"/>
    <w:uiPriority w:val="99"/>
    <w:rsid w:val="003C3C20"/>
    <w:pPr>
      <w:tabs>
        <w:tab w:val="center" w:pos="4536"/>
        <w:tab w:val="right" w:pos="9072"/>
      </w:tabs>
    </w:pPr>
  </w:style>
  <w:style w:type="character" w:customStyle="1" w:styleId="En-tteCar">
    <w:name w:val="En-tête Car"/>
    <w:basedOn w:val="Policepardfaut"/>
    <w:link w:val="En-tte"/>
    <w:uiPriority w:val="99"/>
    <w:rsid w:val="003C3C20"/>
    <w:rPr>
      <w:rFonts w:ascii="Times New Roman" w:eastAsia="Times New Roman" w:hAnsi="Times New Roman" w:cs="Times New Roman"/>
      <w:sz w:val="24"/>
      <w:szCs w:val="24"/>
      <w:lang w:eastAsia="de-DE"/>
    </w:rPr>
  </w:style>
  <w:style w:type="paragraph" w:styleId="Pieddepage">
    <w:name w:val="footer"/>
    <w:basedOn w:val="Normal"/>
    <w:link w:val="PieddepageCar"/>
    <w:uiPriority w:val="99"/>
    <w:rsid w:val="003C3C20"/>
    <w:pPr>
      <w:tabs>
        <w:tab w:val="center" w:pos="4536"/>
        <w:tab w:val="right" w:pos="9072"/>
      </w:tabs>
    </w:pPr>
  </w:style>
  <w:style w:type="character" w:customStyle="1" w:styleId="PieddepageCar">
    <w:name w:val="Pied de page Car"/>
    <w:basedOn w:val="Policepardfaut"/>
    <w:link w:val="Pieddepage"/>
    <w:uiPriority w:val="99"/>
    <w:rsid w:val="003C3C20"/>
    <w:rPr>
      <w:rFonts w:ascii="Times New Roman" w:eastAsia="Times New Roman" w:hAnsi="Times New Roman" w:cs="Times New Roman"/>
      <w:sz w:val="24"/>
      <w:szCs w:val="24"/>
      <w:lang w:eastAsia="de-DE"/>
    </w:rPr>
  </w:style>
  <w:style w:type="table" w:styleId="Grilledutableau">
    <w:name w:val="Table Grid"/>
    <w:basedOn w:val="TableauNormal"/>
    <w:rsid w:val="003C3C2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Policepardfaut"/>
    <w:rsid w:val="003C3C20"/>
  </w:style>
  <w:style w:type="paragraph" w:styleId="NormalWeb">
    <w:name w:val="Normal (Web)"/>
    <w:basedOn w:val="Normal"/>
    <w:uiPriority w:val="99"/>
    <w:unhideWhenUsed/>
    <w:rsid w:val="003C3C20"/>
    <w:pPr>
      <w:spacing w:before="100" w:beforeAutospacing="1" w:after="100" w:afterAutospacing="1"/>
    </w:pPr>
  </w:style>
  <w:style w:type="paragraph" w:styleId="Textedebulles">
    <w:name w:val="Balloon Text"/>
    <w:basedOn w:val="Normal"/>
    <w:link w:val="TextedebullesCar"/>
    <w:uiPriority w:val="99"/>
    <w:semiHidden/>
    <w:unhideWhenUsed/>
    <w:rsid w:val="003C3C2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3C2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ffmann-group.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mailto:e.scheeg@hoffmann-group.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offmann-group.com" TargetMode="External"/><Relationship Id="rId5" Type="http://schemas.openxmlformats.org/officeDocument/2006/relationships/hyperlink" Target="http://www.hoffmann" TargetMode="Externa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hoffmann-group.com/" TargetMode="External"/><Relationship Id="rId19" Type="http://schemas.openxmlformats.org/officeDocument/2006/relationships/fontTable" Target="fontTable.xml"/><Relationship Id="rId4" Type="http://schemas.openxmlformats.org/officeDocument/2006/relationships/hyperlink" Target="http://www.hoffmann-group.com" TargetMode="External"/><Relationship Id="rId9" Type="http://schemas.openxmlformats.org/officeDocument/2006/relationships/hyperlink" Target="https://www.hoffmann-group.com/FR/fr/hom/company/garant"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C2D61235CF84C90E40414D00A90B0" ma:contentTypeVersion="7" ma:contentTypeDescription="Crée un document." ma:contentTypeScope="" ma:versionID="40bdcab0c4974df2fb2b67bebc8c6338">
  <xsd:schema xmlns:xsd="http://www.w3.org/2001/XMLSchema" xmlns:xs="http://www.w3.org/2001/XMLSchema" xmlns:p="http://schemas.microsoft.com/office/2006/metadata/properties" xmlns:ns2="b550beb1-c892-4579-85e1-1b1d39443a62" targetNamespace="http://schemas.microsoft.com/office/2006/metadata/properties" ma:root="true" ma:fieldsID="b9cab9853667e0c0253e420ec4e12996" ns2:_="">
    <xsd:import namespace="b550beb1-c892-4579-85e1-1b1d39443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beb1-c892-4579-85e1-1b1d3944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0920B-A020-4C4D-B26A-729772AE9C2E}"/>
</file>

<file path=customXml/itemProps2.xml><?xml version="1.0" encoding="utf-8"?>
<ds:datastoreItem xmlns:ds="http://schemas.openxmlformats.org/officeDocument/2006/customXml" ds:itemID="{FCCAF3A6-A36E-4C8D-96BA-0A91F3EED1A6}"/>
</file>

<file path=customXml/itemProps3.xml><?xml version="1.0" encoding="utf-8"?>
<ds:datastoreItem xmlns:ds="http://schemas.openxmlformats.org/officeDocument/2006/customXml" ds:itemID="{5BA20F57-1606-4770-83F1-F61D1CD4ECED}"/>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Scheeg Eric</dc:creator>
  <cp:keywords/>
  <dc:description/>
  <cp:lastModifiedBy>Scheeg Eric</cp:lastModifiedBy>
  <cp:revision>2</cp:revision>
  <dcterms:created xsi:type="dcterms:W3CDTF">2020-08-07T07:11:00Z</dcterms:created>
  <dcterms:modified xsi:type="dcterms:W3CDTF">2020-08-07T07:11:00Z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0x010100385C2D61235CF84C90E40414D00A90B0</vt:lpwstr>
  </property>
</Properties>
</file>